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3" w:rsidRPr="006C2B49" w:rsidRDefault="00375A03" w:rsidP="00375A03">
      <w:pPr>
        <w:rPr>
          <w:b/>
          <w:u w:val="single"/>
        </w:rPr>
      </w:pPr>
      <w:r w:rsidRPr="006C2B49">
        <w:rPr>
          <w:b/>
          <w:u w:val="single"/>
        </w:rPr>
        <w:t>EL</w:t>
      </w:r>
      <w:bookmarkStart w:id="0" w:name="_GoBack"/>
      <w:bookmarkEnd w:id="0"/>
      <w:r w:rsidRPr="006C2B49">
        <w:rPr>
          <w:b/>
          <w:u w:val="single"/>
        </w:rPr>
        <w:t>R GP Federat</w:t>
      </w:r>
      <w:r>
        <w:rPr>
          <w:b/>
          <w:u w:val="single"/>
        </w:rPr>
        <w:t>io</w:t>
      </w:r>
      <w:r w:rsidRPr="006C2B49">
        <w:rPr>
          <w:b/>
          <w:u w:val="single"/>
        </w:rPr>
        <w:t xml:space="preserve">n – NHS England </w:t>
      </w:r>
      <w:r w:rsidR="00523710">
        <w:rPr>
          <w:b/>
          <w:u w:val="single"/>
        </w:rPr>
        <w:t xml:space="preserve">Clinical </w:t>
      </w:r>
      <w:r w:rsidRPr="006C2B49">
        <w:rPr>
          <w:b/>
          <w:u w:val="single"/>
        </w:rPr>
        <w:t xml:space="preserve">Pharmacists in </w:t>
      </w:r>
      <w:r>
        <w:rPr>
          <w:b/>
          <w:u w:val="single"/>
        </w:rPr>
        <w:t xml:space="preserve">General </w:t>
      </w:r>
      <w:r w:rsidRPr="006C2B49">
        <w:rPr>
          <w:b/>
          <w:u w:val="single"/>
        </w:rPr>
        <w:t xml:space="preserve">Practice </w:t>
      </w:r>
      <w:r w:rsidR="00523710">
        <w:rPr>
          <w:b/>
          <w:u w:val="single"/>
        </w:rPr>
        <w:t xml:space="preserve">Application </w:t>
      </w:r>
      <w:r w:rsidRPr="006C2B49">
        <w:rPr>
          <w:b/>
          <w:u w:val="single"/>
        </w:rPr>
        <w:t>Update</w:t>
      </w:r>
    </w:p>
    <w:p w:rsidR="00375A03" w:rsidRDefault="00375A03" w:rsidP="00375A03">
      <w:r>
        <w:t xml:space="preserve">The application deadline is </w:t>
      </w:r>
      <w:r w:rsidRPr="005F79BB">
        <w:rPr>
          <w:b/>
          <w:u w:val="single"/>
        </w:rPr>
        <w:t>29</w:t>
      </w:r>
      <w:r w:rsidRPr="005F79BB">
        <w:rPr>
          <w:b/>
          <w:u w:val="single"/>
          <w:vertAlign w:val="superscript"/>
        </w:rPr>
        <w:t>th</w:t>
      </w:r>
      <w:r w:rsidRPr="005F79BB">
        <w:rPr>
          <w:b/>
          <w:u w:val="single"/>
        </w:rPr>
        <w:t xml:space="preserve"> September 2017</w:t>
      </w:r>
      <w:r>
        <w:t xml:space="preserve">.  An update on the application process for this scheme is outlined below.  </w:t>
      </w:r>
    </w:p>
    <w:p w:rsidR="00FE2EFE" w:rsidRDefault="00FE2EFE" w:rsidP="00375A03"/>
    <w:p w:rsidR="00375A03" w:rsidRPr="005760DF" w:rsidRDefault="00FE2EFE" w:rsidP="00375A03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Participating practices</w:t>
      </w:r>
    </w:p>
    <w:p w:rsidR="00FE2EFE" w:rsidRPr="0066793D" w:rsidRDefault="00FE2EFE" w:rsidP="00FE2EFE">
      <w:r>
        <w:t xml:space="preserve">The following </w:t>
      </w:r>
      <w:r w:rsidR="00A951D4">
        <w:t xml:space="preserve">15 </w:t>
      </w:r>
      <w:r w:rsidR="00375A03" w:rsidRPr="000E3290">
        <w:t xml:space="preserve">practices have </w:t>
      </w:r>
      <w:r>
        <w:t xml:space="preserve">indicated interest in </w:t>
      </w:r>
      <w:r w:rsidR="00375A03" w:rsidRPr="000E3290">
        <w:t>participating in the scheme</w:t>
      </w:r>
      <w:r w:rsidR="00DA611D" w:rsidRPr="0066793D">
        <w:t>.</w:t>
      </w:r>
      <w:r w:rsidRPr="0066793D">
        <w:t xml:space="preserve">  Consequently, as it stands, we will be seeking </w:t>
      </w:r>
      <w:r w:rsidRPr="0066793D">
        <w:rPr>
          <w:b/>
          <w:u w:val="single"/>
        </w:rPr>
        <w:t>5 pharmacists</w:t>
      </w:r>
      <w:r w:rsidR="000707F4">
        <w:rPr>
          <w:b/>
          <w:u w:val="single"/>
        </w:rPr>
        <w:t xml:space="preserve"> (1 senior band 8a and 4 </w:t>
      </w:r>
      <w:proofErr w:type="gramStart"/>
      <w:r w:rsidR="000707F4">
        <w:rPr>
          <w:b/>
          <w:u w:val="single"/>
        </w:rPr>
        <w:t>band</w:t>
      </w:r>
      <w:proofErr w:type="gramEnd"/>
      <w:r w:rsidR="000707F4">
        <w:rPr>
          <w:b/>
          <w:u w:val="single"/>
        </w:rPr>
        <w:t xml:space="preserve"> 7)</w:t>
      </w:r>
      <w:r w:rsidRPr="0066793D">
        <w:t xml:space="preserve"> split between the practices; in line with the scheme ratio of 1 pharmacist to 30,000 patients</w:t>
      </w:r>
      <w:r w:rsidR="000707F4">
        <w:t xml:space="preserve"> (the scheme criteria are summarised at appendix 1)</w:t>
      </w:r>
      <w:r w:rsidRPr="0066793D">
        <w:t>.</w:t>
      </w:r>
    </w:p>
    <w:p w:rsidR="00FE2EFE" w:rsidRDefault="008D6835" w:rsidP="00DA611D">
      <w:pPr>
        <w:rPr>
          <w:b/>
          <w:u w:val="single"/>
        </w:rPr>
      </w:pPr>
      <w:r w:rsidRPr="008D6835">
        <w:rPr>
          <w:noProof/>
          <w:lang w:eastAsia="en-GB"/>
        </w:rPr>
        <w:drawing>
          <wp:inline distT="0" distB="0" distL="0" distR="0">
            <wp:extent cx="1818005" cy="5528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5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FE" w:rsidRDefault="00FE2EF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75A03" w:rsidRPr="00FE2EFE" w:rsidRDefault="00375A03" w:rsidP="00FE2EFE">
      <w:pPr>
        <w:pStyle w:val="ListParagraph"/>
        <w:numPr>
          <w:ilvl w:val="0"/>
          <w:numId w:val="7"/>
        </w:numPr>
        <w:rPr>
          <w:b/>
          <w:u w:val="single"/>
        </w:rPr>
      </w:pPr>
      <w:r w:rsidRPr="00FE2EFE">
        <w:rPr>
          <w:b/>
          <w:u w:val="single"/>
        </w:rPr>
        <w:lastRenderedPageBreak/>
        <w:t>Model</w:t>
      </w:r>
    </w:p>
    <w:p w:rsidR="00FE2EFE" w:rsidRDefault="00DA611D" w:rsidP="00761D01">
      <w:pPr>
        <w:spacing w:after="0" w:line="321" w:lineRule="auto"/>
      </w:pPr>
      <w:r>
        <w:t xml:space="preserve">We are working with </w:t>
      </w:r>
      <w:r w:rsidR="00375A03" w:rsidRPr="00CE4A9E">
        <w:t>a specialist pharmacists company</w:t>
      </w:r>
      <w:r w:rsidR="00375A03" w:rsidRPr="00235EE5">
        <w:t xml:space="preserve"> –</w:t>
      </w:r>
      <w:r w:rsidR="00D149DD" w:rsidRPr="00235EE5">
        <w:t xml:space="preserve"> </w:t>
      </w:r>
      <w:r w:rsidR="00D149DD" w:rsidRPr="00CE4A9E">
        <w:rPr>
          <w:b/>
          <w:u w:val="single"/>
        </w:rPr>
        <w:t xml:space="preserve">Soar </w:t>
      </w:r>
      <w:proofErr w:type="gramStart"/>
      <w:r w:rsidR="00D149DD" w:rsidRPr="00CE4A9E">
        <w:rPr>
          <w:b/>
          <w:u w:val="single"/>
        </w:rPr>
        <w:t>Beyond</w:t>
      </w:r>
      <w:r w:rsidR="00D149DD">
        <w:t xml:space="preserve">  (</w:t>
      </w:r>
      <w:proofErr w:type="gramEnd"/>
      <w:r w:rsidR="00D149DD" w:rsidRPr="00CE4A9E">
        <w:rPr>
          <w:rFonts w:ascii="Arial" w:hAnsi="Arial" w:cs="Arial"/>
          <w:color w:val="006621"/>
          <w:sz w:val="21"/>
          <w:szCs w:val="21"/>
          <w:shd w:val="clear" w:color="auto" w:fill="FFFFFF"/>
        </w:rPr>
        <w:fldChar w:fldCharType="begin"/>
      </w:r>
      <w:r w:rsidR="00D149DD" w:rsidRPr="00CE4A9E">
        <w:rPr>
          <w:rFonts w:ascii="Arial" w:hAnsi="Arial" w:cs="Arial"/>
          <w:color w:val="006621"/>
          <w:sz w:val="21"/>
          <w:szCs w:val="21"/>
          <w:shd w:val="clear" w:color="auto" w:fill="FFFFFF"/>
        </w:rPr>
        <w:instrText xml:space="preserve"> HYPERLINK "http://www.soarbeyond-ltd.co.uk" </w:instrText>
      </w:r>
      <w:r w:rsidR="00D149DD" w:rsidRPr="00CE4A9E">
        <w:rPr>
          <w:rFonts w:ascii="Arial" w:hAnsi="Arial" w:cs="Arial"/>
          <w:color w:val="006621"/>
          <w:sz w:val="21"/>
          <w:szCs w:val="21"/>
          <w:shd w:val="clear" w:color="auto" w:fill="FFFFFF"/>
        </w:rPr>
        <w:fldChar w:fldCharType="separate"/>
      </w:r>
      <w:r w:rsidR="00D149DD" w:rsidRPr="00CE4A9E">
        <w:rPr>
          <w:rStyle w:val="Hyperlink"/>
          <w:rFonts w:ascii="Arial" w:hAnsi="Arial" w:cs="Arial"/>
          <w:sz w:val="21"/>
          <w:szCs w:val="21"/>
          <w:shd w:val="clear" w:color="auto" w:fill="FFFFFF"/>
        </w:rPr>
        <w:t>www.soarbeyond-ltd.co.uk</w:t>
      </w:r>
      <w:r w:rsidR="00D149DD" w:rsidRPr="00CE4A9E">
        <w:rPr>
          <w:rFonts w:ascii="Arial" w:hAnsi="Arial" w:cs="Arial"/>
          <w:color w:val="006621"/>
          <w:sz w:val="21"/>
          <w:szCs w:val="21"/>
          <w:shd w:val="clear" w:color="auto" w:fill="FFFFFF"/>
        </w:rPr>
        <w:fldChar w:fldCharType="end"/>
      </w:r>
      <w:r w:rsidR="00D149DD" w:rsidRPr="00CE4A9E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D149DD" w:rsidRPr="00235EE5">
        <w:t xml:space="preserve">who have experience of bidding successfully for the NHS England scheme </w:t>
      </w:r>
      <w:r w:rsidR="00D149DD">
        <w:t xml:space="preserve">in London and Birmingham.  </w:t>
      </w:r>
      <w:r w:rsidR="00991B28">
        <w:t xml:space="preserve">Our approach will dovetail with </w:t>
      </w:r>
      <w:r w:rsidR="00991B28" w:rsidRPr="00761D01">
        <w:t>existing arrangements and existing pharmacists</w:t>
      </w:r>
      <w:r w:rsidR="00991B28">
        <w:t xml:space="preserve">.  We have liaised with NHS England locally who </w:t>
      </w:r>
      <w:proofErr w:type="gramStart"/>
      <w:r w:rsidR="00991B28">
        <w:t>have</w:t>
      </w:r>
      <w:proofErr w:type="gramEnd"/>
      <w:r w:rsidR="00991B28">
        <w:t xml:space="preserve"> confirmed that they are supportive of this approach.  </w:t>
      </w:r>
    </w:p>
    <w:p w:rsidR="00D149DD" w:rsidRDefault="00D149DD" w:rsidP="00D149DD">
      <w:pPr>
        <w:spacing w:after="0" w:line="321" w:lineRule="auto"/>
      </w:pPr>
    </w:p>
    <w:p w:rsidR="00D149DD" w:rsidRPr="00B90460" w:rsidRDefault="000E4C80" w:rsidP="00D149DD">
      <w:pPr>
        <w:pStyle w:val="ListParagraph"/>
        <w:spacing w:after="0" w:line="321" w:lineRule="auto"/>
        <w:ind w:left="0"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="Times New Roman"/>
          <w:b/>
          <w:u w:val="single"/>
          <w:lang w:eastAsia="en-GB"/>
        </w:rPr>
        <w:t xml:space="preserve">2.1 </w:t>
      </w:r>
      <w:r w:rsidR="00D149DD" w:rsidRPr="00B90460">
        <w:rPr>
          <w:rFonts w:eastAsia="Times New Roman" w:cs="Times New Roman"/>
          <w:b/>
          <w:u w:val="single"/>
          <w:lang w:eastAsia="en-GB"/>
        </w:rPr>
        <w:t>Proposed model</w:t>
      </w:r>
    </w:p>
    <w:p w:rsidR="00D149DD" w:rsidRPr="000E5819" w:rsidRDefault="00B03B34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color w:val="FF0000"/>
          <w:lang w:eastAsia="en-GB"/>
        </w:rPr>
      </w:pPr>
      <w:r w:rsidRPr="00003130">
        <w:rPr>
          <w:rFonts w:eastAsiaTheme="minorEastAsia"/>
          <w:spacing w:val="-10"/>
          <w:kern w:val="24"/>
          <w:lang w:eastAsia="en-GB"/>
        </w:rPr>
        <w:t xml:space="preserve">Federation submits bid to NHSE for </w:t>
      </w:r>
      <w:r w:rsidR="00DA611D">
        <w:rPr>
          <w:rFonts w:eastAsiaTheme="minorEastAsia"/>
          <w:color w:val="FF0000"/>
          <w:spacing w:val="-10"/>
          <w:kern w:val="24"/>
          <w:lang w:eastAsia="en-GB"/>
        </w:rPr>
        <w:t xml:space="preserve"> </w:t>
      </w:r>
      <w:r w:rsidR="00D149DD" w:rsidRPr="000E5819">
        <w:rPr>
          <w:rFonts w:eastAsiaTheme="minorEastAsia"/>
          <w:color w:val="FF0000"/>
          <w:spacing w:val="-10"/>
          <w:kern w:val="24"/>
          <w:lang w:eastAsia="en-GB"/>
        </w:rPr>
        <w:t xml:space="preserve">5 </w:t>
      </w:r>
      <w:r w:rsidRPr="00003130">
        <w:rPr>
          <w:rFonts w:eastAsiaTheme="minorEastAsia"/>
          <w:color w:val="FF0000"/>
          <w:spacing w:val="-10"/>
          <w:kern w:val="24"/>
          <w:lang w:eastAsia="en-GB"/>
        </w:rPr>
        <w:t xml:space="preserve">clinical pharmacists </w:t>
      </w:r>
      <w:r w:rsidR="00D149DD" w:rsidRPr="000E5819">
        <w:rPr>
          <w:rFonts w:eastAsiaTheme="minorEastAsia"/>
          <w:color w:val="FF0000"/>
          <w:spacing w:val="-10"/>
          <w:kern w:val="24"/>
          <w:lang w:eastAsia="en-GB"/>
        </w:rPr>
        <w:t>(TBC)</w:t>
      </w:r>
      <w:r w:rsidRPr="00003130">
        <w:rPr>
          <w:rFonts w:eastAsiaTheme="minorEastAsia"/>
          <w:color w:val="FF0000"/>
          <w:spacing w:val="-10"/>
          <w:kern w:val="24"/>
          <w:lang w:eastAsia="en-GB"/>
        </w:rPr>
        <w:t xml:space="preserve">– </w:t>
      </w:r>
      <w:r w:rsidR="00D149DD" w:rsidRPr="000E5819">
        <w:rPr>
          <w:rFonts w:eastAsiaTheme="minorEastAsia"/>
          <w:color w:val="FF0000"/>
          <w:spacing w:val="-10"/>
          <w:kern w:val="24"/>
          <w:lang w:eastAsia="en-GB"/>
        </w:rPr>
        <w:t>bas</w:t>
      </w:r>
      <w:r w:rsidR="00390261">
        <w:rPr>
          <w:rFonts w:eastAsiaTheme="minorEastAsia"/>
          <w:color w:val="FF0000"/>
          <w:spacing w:val="-10"/>
          <w:kern w:val="24"/>
          <w:lang w:eastAsia="en-GB"/>
        </w:rPr>
        <w:t>ed on the 1:30,000 ratio for 150</w:t>
      </w:r>
      <w:r w:rsidR="00D149DD" w:rsidRPr="000E5819">
        <w:rPr>
          <w:rFonts w:eastAsiaTheme="minorEastAsia"/>
          <w:color w:val="FF0000"/>
          <w:spacing w:val="-10"/>
          <w:kern w:val="24"/>
          <w:lang w:eastAsia="en-GB"/>
        </w:rPr>
        <w:t>,000 population (TBC)</w:t>
      </w:r>
    </w:p>
    <w:p w:rsidR="00003130" w:rsidRPr="00003130" w:rsidRDefault="00D149DD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val="is-IS" w:eastAsia="en-GB"/>
        </w:rPr>
        <w:t>These pharmacists will be augmented by the existing pharmacists employed by practices through the CCG £2/patient scheme</w:t>
      </w:r>
    </w:p>
    <w:p w:rsidR="00D149DD" w:rsidRPr="002407CC" w:rsidRDefault="00D149DD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 xml:space="preserve">This will provide </w:t>
      </w:r>
      <w:r w:rsidRPr="009352DE">
        <w:rPr>
          <w:rFonts w:eastAsiaTheme="minorEastAsia"/>
          <w:color w:val="FF0000"/>
          <w:spacing w:val="-10"/>
          <w:kern w:val="24"/>
          <w:lang w:eastAsia="en-GB"/>
        </w:rPr>
        <w:t xml:space="preserve">approx. 8-10 </w:t>
      </w:r>
      <w:r w:rsidRPr="00176D52">
        <w:rPr>
          <w:rFonts w:eastAsiaTheme="minorEastAsia"/>
          <w:color w:val="FF0000"/>
          <w:spacing w:val="-10"/>
          <w:kern w:val="24"/>
          <w:lang w:eastAsia="en-GB"/>
        </w:rPr>
        <w:t xml:space="preserve">pharmacists (TBC) </w:t>
      </w:r>
      <w:r w:rsidR="000E4C80">
        <w:rPr>
          <w:rFonts w:eastAsiaTheme="minorEastAsia"/>
          <w:spacing w:val="-10"/>
          <w:kern w:val="24"/>
          <w:lang w:eastAsia="en-GB"/>
        </w:rPr>
        <w:t>who w</w:t>
      </w:r>
      <w:r w:rsidRPr="002407CC">
        <w:rPr>
          <w:rFonts w:eastAsiaTheme="minorEastAsia"/>
          <w:spacing w:val="-10"/>
          <w:kern w:val="24"/>
          <w:lang w:eastAsia="en-GB"/>
        </w:rPr>
        <w:t>ould contribute to an ‘at-</w:t>
      </w:r>
      <w:r w:rsidR="00B03B34" w:rsidRPr="00003130">
        <w:rPr>
          <w:rFonts w:eastAsiaTheme="minorEastAsia"/>
          <w:spacing w:val="-10"/>
          <w:kern w:val="24"/>
          <w:lang w:eastAsia="en-GB"/>
        </w:rPr>
        <w:t>scale</w:t>
      </w:r>
      <w:r w:rsidRPr="002407CC">
        <w:rPr>
          <w:rFonts w:eastAsiaTheme="minorEastAsia"/>
          <w:spacing w:val="-10"/>
          <w:kern w:val="24"/>
          <w:lang w:eastAsia="en-GB"/>
        </w:rPr>
        <w:t>’</w:t>
      </w:r>
      <w:r w:rsidR="00B03B34" w:rsidRPr="00003130">
        <w:rPr>
          <w:rFonts w:eastAsiaTheme="minorEastAsia"/>
          <w:spacing w:val="-10"/>
          <w:kern w:val="24"/>
          <w:lang w:eastAsia="en-GB"/>
        </w:rPr>
        <w:t xml:space="preserve"> </w:t>
      </w:r>
      <w:r w:rsidRPr="002407CC">
        <w:rPr>
          <w:rFonts w:eastAsiaTheme="minorEastAsia"/>
          <w:spacing w:val="-10"/>
          <w:kern w:val="24"/>
          <w:lang w:eastAsia="en-GB"/>
        </w:rPr>
        <w:t>F</w:t>
      </w:r>
      <w:r w:rsidR="00B03B34" w:rsidRPr="00003130">
        <w:rPr>
          <w:rFonts w:eastAsiaTheme="minorEastAsia"/>
          <w:spacing w:val="-10"/>
          <w:kern w:val="24"/>
          <w:lang w:eastAsia="en-GB"/>
        </w:rPr>
        <w:t xml:space="preserve">ederation </w:t>
      </w:r>
      <w:r w:rsidRPr="002407CC">
        <w:rPr>
          <w:rFonts w:eastAsiaTheme="minorEastAsia"/>
          <w:spacing w:val="-10"/>
          <w:kern w:val="24"/>
          <w:lang w:eastAsia="en-GB"/>
        </w:rPr>
        <w:t xml:space="preserve">hub and spoke </w:t>
      </w:r>
      <w:r w:rsidR="00B03B34" w:rsidRPr="00003130">
        <w:rPr>
          <w:rFonts w:eastAsiaTheme="minorEastAsia"/>
          <w:spacing w:val="-10"/>
          <w:kern w:val="24"/>
          <w:lang w:eastAsia="en-GB"/>
        </w:rPr>
        <w:t xml:space="preserve">based service </w:t>
      </w:r>
      <w:r w:rsidRPr="002407CC">
        <w:rPr>
          <w:rFonts w:eastAsiaTheme="minorEastAsia"/>
          <w:spacing w:val="-10"/>
          <w:kern w:val="24"/>
          <w:lang w:eastAsia="en-GB"/>
        </w:rPr>
        <w:t xml:space="preserve">to provide participating practices with a </w:t>
      </w:r>
      <w:r w:rsidR="00B03B34" w:rsidRPr="00003130">
        <w:rPr>
          <w:rFonts w:eastAsiaTheme="minorEastAsia"/>
          <w:spacing w:val="-10"/>
          <w:kern w:val="24"/>
          <w:lang w:eastAsia="en-GB"/>
        </w:rPr>
        <w:t>central</w:t>
      </w:r>
      <w:r w:rsidRPr="002407CC">
        <w:rPr>
          <w:rFonts w:eastAsiaTheme="minorEastAsia"/>
          <w:spacing w:val="-10"/>
          <w:kern w:val="24"/>
          <w:lang w:eastAsia="en-GB"/>
        </w:rPr>
        <w:t>ised query service 5 days per week.</w:t>
      </w:r>
    </w:p>
    <w:p w:rsidR="00003130" w:rsidRPr="00003130" w:rsidRDefault="00D149DD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The</w:t>
      </w:r>
      <w:r w:rsidR="00B03B34" w:rsidRPr="00003130">
        <w:rPr>
          <w:rFonts w:eastAsiaTheme="minorEastAsia"/>
          <w:spacing w:val="-10"/>
          <w:kern w:val="24"/>
          <w:lang w:eastAsia="en-GB"/>
        </w:rPr>
        <w:t xml:space="preserve"> team </w:t>
      </w:r>
      <w:r w:rsidRPr="002407CC">
        <w:rPr>
          <w:rFonts w:eastAsiaTheme="minorEastAsia"/>
          <w:spacing w:val="-10"/>
          <w:kern w:val="24"/>
          <w:lang w:eastAsia="en-GB"/>
        </w:rPr>
        <w:t xml:space="preserve">would rotate through the </w:t>
      </w:r>
      <w:r w:rsidR="00DA611D">
        <w:rPr>
          <w:rFonts w:eastAsiaTheme="minorEastAsia"/>
          <w:spacing w:val="-10"/>
          <w:kern w:val="24"/>
          <w:lang w:eastAsia="en-GB"/>
        </w:rPr>
        <w:t xml:space="preserve">virtual </w:t>
      </w:r>
      <w:r w:rsidRPr="002407CC">
        <w:rPr>
          <w:rFonts w:eastAsiaTheme="minorEastAsia"/>
          <w:spacing w:val="-10"/>
          <w:kern w:val="24"/>
          <w:lang w:eastAsia="en-GB"/>
        </w:rPr>
        <w:t xml:space="preserve">hub and provide a bespoke clinical service to their </w:t>
      </w:r>
      <w:r w:rsidR="000E4C80">
        <w:rPr>
          <w:rFonts w:eastAsiaTheme="minorEastAsia"/>
          <w:spacing w:val="-10"/>
          <w:kern w:val="24"/>
          <w:lang w:eastAsia="en-GB"/>
        </w:rPr>
        <w:t xml:space="preserve">‘base </w:t>
      </w:r>
      <w:r w:rsidRPr="002407CC">
        <w:rPr>
          <w:rFonts w:eastAsiaTheme="minorEastAsia"/>
          <w:spacing w:val="-10"/>
          <w:kern w:val="24"/>
          <w:lang w:eastAsia="en-GB"/>
        </w:rPr>
        <w:t>practice</w:t>
      </w:r>
      <w:r w:rsidR="000E4C80">
        <w:rPr>
          <w:rFonts w:eastAsiaTheme="minorEastAsia"/>
          <w:spacing w:val="-10"/>
          <w:kern w:val="24"/>
          <w:lang w:eastAsia="en-GB"/>
        </w:rPr>
        <w:t>’</w:t>
      </w:r>
    </w:p>
    <w:p w:rsidR="00003130" w:rsidRPr="009C2BDD" w:rsidRDefault="00D149DD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We c</w:t>
      </w:r>
      <w:r w:rsidR="00B03B34" w:rsidRPr="00003130">
        <w:rPr>
          <w:rFonts w:eastAsiaTheme="minorEastAsia"/>
          <w:spacing w:val="-10"/>
          <w:kern w:val="24"/>
          <w:lang w:eastAsia="en-GB"/>
        </w:rPr>
        <w:t>ould incorporate local incentive schemes as part of the plan</w:t>
      </w:r>
      <w:r w:rsidRPr="002407CC">
        <w:rPr>
          <w:rFonts w:eastAsiaTheme="minorEastAsia"/>
          <w:spacing w:val="-10"/>
          <w:kern w:val="24"/>
          <w:lang w:eastAsia="en-GB"/>
        </w:rPr>
        <w:t xml:space="preserve"> and/or </w:t>
      </w:r>
      <w:r w:rsidR="00B03B34" w:rsidRPr="00003130">
        <w:rPr>
          <w:rFonts w:eastAsiaTheme="minorEastAsia"/>
          <w:spacing w:val="-10"/>
          <w:kern w:val="24"/>
          <w:lang w:eastAsia="en-GB"/>
        </w:rPr>
        <w:t xml:space="preserve">further off-set </w:t>
      </w:r>
      <w:r w:rsidRPr="002407CC">
        <w:rPr>
          <w:rFonts w:eastAsiaTheme="minorEastAsia"/>
          <w:spacing w:val="-10"/>
          <w:kern w:val="24"/>
          <w:lang w:eastAsia="en-GB"/>
        </w:rPr>
        <w:t xml:space="preserve">the cost </w:t>
      </w:r>
      <w:r w:rsidR="00B03B34" w:rsidRPr="00003130">
        <w:rPr>
          <w:rFonts w:eastAsiaTheme="minorEastAsia"/>
          <w:spacing w:val="-10"/>
          <w:kern w:val="24"/>
          <w:lang w:eastAsia="en-GB"/>
        </w:rPr>
        <w:t>via pharma initiatives</w:t>
      </w:r>
    </w:p>
    <w:p w:rsidR="00003130" w:rsidRPr="00003130" w:rsidRDefault="00C5318E" w:rsidP="009C2BDD">
      <w:pPr>
        <w:spacing w:after="120" w:line="273" w:lineRule="auto"/>
        <w:ind w:left="765"/>
        <w:contextualSpacing/>
        <w:rPr>
          <w:rFonts w:eastAsia="Times New Roman" w:cs="Times New Roman"/>
          <w:lang w:eastAsia="en-GB"/>
        </w:rPr>
      </w:pPr>
    </w:p>
    <w:p w:rsidR="00D149DD" w:rsidRPr="002407CC" w:rsidRDefault="009C2BDD" w:rsidP="009C2BDD">
      <w:pPr>
        <w:spacing w:after="0" w:line="321" w:lineRule="auto"/>
        <w:ind w:left="709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noProof/>
          <w:lang w:eastAsia="en-GB"/>
        </w:rPr>
        <w:drawing>
          <wp:inline distT="0" distB="0" distL="0" distR="0" wp14:anchorId="37FDD89A" wp14:editId="206B5514">
            <wp:extent cx="4572635" cy="2858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9DD" w:rsidRDefault="00D149DD" w:rsidP="00D149DD">
      <w:pPr>
        <w:spacing w:after="0" w:line="321" w:lineRule="auto"/>
        <w:rPr>
          <w:rFonts w:eastAsia="Times New Roman" w:cs="Times New Roman"/>
          <w:lang w:eastAsia="en-GB"/>
        </w:rPr>
      </w:pPr>
    </w:p>
    <w:p w:rsidR="00D149DD" w:rsidRPr="00B90460" w:rsidRDefault="000E4C80" w:rsidP="00D149DD">
      <w:pPr>
        <w:spacing w:after="0" w:line="321" w:lineRule="auto"/>
        <w:rPr>
          <w:rFonts w:eastAsia="Times New Roman" w:cs="Times New Roman"/>
          <w:u w:val="single"/>
          <w:lang w:eastAsia="en-GB"/>
        </w:rPr>
      </w:pPr>
      <w:r>
        <w:rPr>
          <w:rFonts w:eastAsiaTheme="majorEastAsia" w:cstheme="majorBidi"/>
          <w:b/>
          <w:bCs/>
          <w:kern w:val="24"/>
          <w:u w:val="single"/>
        </w:rPr>
        <w:t xml:space="preserve">2.2 </w:t>
      </w:r>
      <w:r w:rsidR="00D149DD" w:rsidRPr="00B90460">
        <w:rPr>
          <w:rFonts w:eastAsiaTheme="majorEastAsia" w:cstheme="majorBidi"/>
          <w:b/>
          <w:bCs/>
          <w:kern w:val="24"/>
          <w:u w:val="single"/>
        </w:rPr>
        <w:t>Centralised Prescribing Support hub which provides;</w:t>
      </w:r>
    </w:p>
    <w:p w:rsidR="00B5442F" w:rsidRPr="00CF50B8" w:rsidRDefault="00B03B34" w:rsidP="00CF50B8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Central Hub (might be virtual)</w:t>
      </w:r>
    </w:p>
    <w:p w:rsidR="00B5442F" w:rsidRPr="00B5442F" w:rsidRDefault="00B03B34" w:rsidP="00D149DD">
      <w:pPr>
        <w:numPr>
          <w:ilvl w:val="1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Rx queries</w:t>
      </w:r>
    </w:p>
    <w:p w:rsidR="00B5442F" w:rsidRPr="00B5442F" w:rsidRDefault="00B03B34" w:rsidP="00D149DD">
      <w:pPr>
        <w:numPr>
          <w:ilvl w:val="1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 xml:space="preserve">Best practice process  - streamline &amp; </w:t>
      </w:r>
      <w:proofErr w:type="spellStart"/>
      <w:r w:rsidRPr="00B5442F">
        <w:rPr>
          <w:rFonts w:eastAsiaTheme="minorEastAsia"/>
          <w:spacing w:val="-10"/>
          <w:kern w:val="24"/>
          <w:lang w:val="en-US" w:eastAsia="en-GB"/>
        </w:rPr>
        <w:t>optimise</w:t>
      </w:r>
      <w:proofErr w:type="spellEnd"/>
      <w:r w:rsidRPr="00B5442F">
        <w:rPr>
          <w:rFonts w:eastAsiaTheme="minorEastAsia"/>
          <w:spacing w:val="-10"/>
          <w:kern w:val="24"/>
          <w:lang w:val="en-US" w:eastAsia="en-GB"/>
        </w:rPr>
        <w:t xml:space="preserve"> each practice system for repeat prescribing</w:t>
      </w:r>
    </w:p>
    <w:p w:rsidR="00B5442F" w:rsidRPr="00B5442F" w:rsidRDefault="00B03B34" w:rsidP="00D149DD">
      <w:pPr>
        <w:numPr>
          <w:ilvl w:val="1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Process and issue</w:t>
      </w:r>
    </w:p>
    <w:p w:rsidR="00B5442F" w:rsidRPr="00B5442F" w:rsidRDefault="00B03B34" w:rsidP="00D149DD">
      <w:pPr>
        <w:numPr>
          <w:ilvl w:val="1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Telephone support line</w:t>
      </w:r>
    </w:p>
    <w:p w:rsidR="00B5442F" w:rsidRPr="00B5442F" w:rsidRDefault="00B03B34" w:rsidP="00D149DD">
      <w:pPr>
        <w:numPr>
          <w:ilvl w:val="1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Team</w:t>
      </w:r>
    </w:p>
    <w:p w:rsidR="00B5442F" w:rsidRPr="00B5442F" w:rsidRDefault="00B03B34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t>Pharmacists - Rotation between Repeat Rx and clinical work</w:t>
      </w:r>
    </w:p>
    <w:p w:rsidR="00B5442F" w:rsidRPr="00CF50B8" w:rsidRDefault="00B03B34" w:rsidP="00D149DD">
      <w:pPr>
        <w:numPr>
          <w:ilvl w:val="0"/>
          <w:numId w:val="2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B5442F">
        <w:rPr>
          <w:rFonts w:eastAsiaTheme="minorEastAsia"/>
          <w:spacing w:val="-10"/>
          <w:kern w:val="24"/>
          <w:lang w:val="en-US" w:eastAsia="en-GB"/>
        </w:rPr>
        <w:lastRenderedPageBreak/>
        <w:t>Admin/ technici</w:t>
      </w:r>
      <w:r w:rsidR="00D149DD" w:rsidRPr="002407CC">
        <w:rPr>
          <w:rFonts w:eastAsiaTheme="minorEastAsia"/>
          <w:spacing w:val="-10"/>
          <w:kern w:val="24"/>
          <w:lang w:val="en-US" w:eastAsia="en-GB"/>
        </w:rPr>
        <w:t>ans (not part of NHSE funding) TBC.</w:t>
      </w:r>
    </w:p>
    <w:p w:rsidR="00CF50B8" w:rsidRPr="00B5442F" w:rsidRDefault="00CF50B8" w:rsidP="00CF50B8">
      <w:pPr>
        <w:spacing w:after="120" w:line="273" w:lineRule="auto"/>
        <w:ind w:left="765"/>
        <w:contextualSpacing/>
        <w:rPr>
          <w:rFonts w:eastAsia="Times New Roman" w:cs="Times New Roman"/>
          <w:lang w:eastAsia="en-GB"/>
        </w:rPr>
      </w:pPr>
    </w:p>
    <w:p w:rsidR="00D149DD" w:rsidRPr="00633044" w:rsidRDefault="000E4C80" w:rsidP="00D149DD">
      <w:pPr>
        <w:pStyle w:val="ListParagraph"/>
        <w:spacing w:after="0" w:line="321" w:lineRule="auto"/>
        <w:ind w:left="405"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="Times New Roman"/>
          <w:b/>
          <w:u w:val="single"/>
          <w:lang w:eastAsia="en-GB"/>
        </w:rPr>
        <w:t xml:space="preserve">2.3 </w:t>
      </w:r>
      <w:r w:rsidR="00D149DD" w:rsidRPr="00633044">
        <w:rPr>
          <w:rFonts w:eastAsia="Times New Roman" w:cs="Times New Roman"/>
          <w:b/>
          <w:u w:val="single"/>
          <w:lang w:eastAsia="en-GB"/>
        </w:rPr>
        <w:t>Clinical</w:t>
      </w:r>
      <w:r w:rsidR="00D149DD">
        <w:rPr>
          <w:rFonts w:eastAsia="Times New Roman" w:cs="Times New Roman"/>
          <w:b/>
          <w:u w:val="single"/>
          <w:lang w:eastAsia="en-GB"/>
        </w:rPr>
        <w:t xml:space="preserve"> spokes</w:t>
      </w:r>
      <w:r w:rsidR="00D149DD" w:rsidRPr="00633044">
        <w:rPr>
          <w:rFonts w:eastAsia="Times New Roman" w:cs="Times New Roman"/>
          <w:b/>
          <w:u w:val="single"/>
          <w:lang w:eastAsia="en-GB"/>
        </w:rPr>
        <w:t xml:space="preserve"> – </w:t>
      </w:r>
      <w:r w:rsidR="00D149DD" w:rsidRPr="00991B28">
        <w:rPr>
          <w:rFonts w:eastAsia="Times New Roman" w:cs="Times New Roman"/>
          <w:b/>
          <w:sz w:val="24"/>
          <w:szCs w:val="24"/>
          <w:u w:val="single"/>
          <w:lang w:eastAsia="en-GB"/>
        </w:rPr>
        <w:t>tailored to each practice</w:t>
      </w:r>
      <w:r w:rsidR="00D149DD">
        <w:rPr>
          <w:rFonts w:eastAsia="Times New Roman" w:cs="Times New Roman"/>
          <w:b/>
          <w:u w:val="single"/>
          <w:lang w:eastAsia="en-GB"/>
        </w:rPr>
        <w:t xml:space="preserve">, </w:t>
      </w:r>
      <w:r w:rsidR="00D149DD" w:rsidRPr="00991B28">
        <w:rPr>
          <w:rFonts w:eastAsia="Times New Roman" w:cs="Times New Roman"/>
          <w:u w:val="single"/>
          <w:lang w:eastAsia="en-GB"/>
        </w:rPr>
        <w:t>but could include;</w:t>
      </w:r>
    </w:p>
    <w:p w:rsidR="00D149DD" w:rsidRPr="002407CC" w:rsidRDefault="00B03B34" w:rsidP="00D149DD">
      <w:pPr>
        <w:numPr>
          <w:ilvl w:val="0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eastAsia="en-GB"/>
        </w:rPr>
        <w:t xml:space="preserve">QOF Optimisation </w:t>
      </w:r>
    </w:p>
    <w:p w:rsidR="00D30248" w:rsidRPr="00D30248" w:rsidRDefault="00D149DD" w:rsidP="00D149DD">
      <w:pPr>
        <w:numPr>
          <w:ilvl w:val="0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val="en-US" w:eastAsia="en-GB"/>
        </w:rPr>
        <w:t>O</w:t>
      </w:r>
      <w:r w:rsidR="00B03B34" w:rsidRPr="00B5442F">
        <w:rPr>
          <w:rFonts w:eastAsiaTheme="minorEastAsia"/>
          <w:spacing w:val="-10"/>
          <w:kern w:val="24"/>
          <w:lang w:val="en-US" w:eastAsia="en-GB"/>
        </w:rPr>
        <w:t>utstanding queries (small number)</w:t>
      </w:r>
    </w:p>
    <w:p w:rsidR="00D30248" w:rsidRPr="00D30248" w:rsidRDefault="00B03B34" w:rsidP="00D149DD">
      <w:pPr>
        <w:numPr>
          <w:ilvl w:val="0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Minor Illness management</w:t>
      </w:r>
    </w:p>
    <w:p w:rsidR="00D30248" w:rsidRPr="00D30248" w:rsidRDefault="00B03B34" w:rsidP="00D149DD">
      <w:pPr>
        <w:numPr>
          <w:ilvl w:val="0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 xml:space="preserve">Rotational </w:t>
      </w:r>
      <w:proofErr w:type="spellStart"/>
      <w:r w:rsidRPr="00D30248">
        <w:rPr>
          <w:rFonts w:eastAsiaTheme="minorEastAsia"/>
          <w:spacing w:val="-10"/>
          <w:kern w:val="24"/>
          <w:lang w:val="en-US" w:eastAsia="en-GB"/>
        </w:rPr>
        <w:t>standardised</w:t>
      </w:r>
      <w:proofErr w:type="spellEnd"/>
      <w:r w:rsidRPr="00D30248">
        <w:rPr>
          <w:rFonts w:eastAsiaTheme="minorEastAsia"/>
          <w:spacing w:val="-10"/>
          <w:kern w:val="24"/>
          <w:lang w:val="en-US" w:eastAsia="en-GB"/>
        </w:rPr>
        <w:t xml:space="preserve"> clinical review </w:t>
      </w:r>
      <w:proofErr w:type="spellStart"/>
      <w:r w:rsidRPr="00D30248">
        <w:rPr>
          <w:rFonts w:eastAsiaTheme="minorEastAsia"/>
          <w:spacing w:val="-10"/>
          <w:kern w:val="24"/>
          <w:lang w:val="en-US" w:eastAsia="en-GB"/>
        </w:rPr>
        <w:t>programme</w:t>
      </w:r>
      <w:proofErr w:type="spellEnd"/>
      <w:r w:rsidRPr="00D30248">
        <w:rPr>
          <w:rFonts w:eastAsiaTheme="minorEastAsia"/>
          <w:spacing w:val="-10"/>
          <w:kern w:val="24"/>
          <w:lang w:val="en-US" w:eastAsia="en-GB"/>
        </w:rPr>
        <w:t xml:space="preserve"> (pharmacist </w:t>
      </w:r>
      <w:proofErr w:type="spellStart"/>
      <w:r w:rsidRPr="00D30248">
        <w:rPr>
          <w:rFonts w:eastAsiaTheme="minorEastAsia"/>
          <w:spacing w:val="-10"/>
          <w:kern w:val="24"/>
          <w:lang w:val="en-US" w:eastAsia="en-GB"/>
        </w:rPr>
        <w:t>specialising</w:t>
      </w:r>
      <w:proofErr w:type="spellEnd"/>
      <w:r w:rsidRPr="00D30248">
        <w:rPr>
          <w:rFonts w:eastAsiaTheme="minorEastAsia"/>
          <w:spacing w:val="-10"/>
          <w:kern w:val="24"/>
          <w:lang w:val="en-US" w:eastAsia="en-GB"/>
        </w:rPr>
        <w:t xml:space="preserve"> in therapy areas)</w:t>
      </w:r>
    </w:p>
    <w:p w:rsidR="00D30248" w:rsidRPr="00D30248" w:rsidRDefault="00B03B34" w:rsidP="00D149DD">
      <w:pPr>
        <w:numPr>
          <w:ilvl w:val="0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 xml:space="preserve">Poly-pharmacy reviews 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Respiratory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Diabetes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Pain Management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Nutrition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Hypertension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AF</w:t>
      </w:r>
    </w:p>
    <w:p w:rsidR="00D30248" w:rsidRPr="00D30248" w:rsidRDefault="00B03B34" w:rsidP="00D149DD">
      <w:pPr>
        <w:numPr>
          <w:ilvl w:val="1"/>
          <w:numId w:val="3"/>
        </w:numPr>
        <w:spacing w:after="120" w:line="273" w:lineRule="auto"/>
        <w:contextualSpacing/>
        <w:rPr>
          <w:rFonts w:eastAsia="Times New Roman" w:cs="Times New Roman"/>
          <w:lang w:eastAsia="en-GB"/>
        </w:rPr>
      </w:pPr>
      <w:r w:rsidRPr="00D30248">
        <w:rPr>
          <w:rFonts w:eastAsiaTheme="minorEastAsia"/>
          <w:spacing w:val="-10"/>
          <w:kern w:val="24"/>
          <w:lang w:val="en-US" w:eastAsia="en-GB"/>
        </w:rPr>
        <w:t>Care Homes</w:t>
      </w:r>
    </w:p>
    <w:p w:rsidR="00D149DD" w:rsidRPr="002407CC" w:rsidRDefault="000E4C80" w:rsidP="00D149DD">
      <w:pPr>
        <w:pStyle w:val="ListParagraph"/>
        <w:spacing w:after="0" w:line="321" w:lineRule="auto"/>
        <w:ind w:left="405"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="Times New Roman"/>
          <w:b/>
          <w:u w:val="single"/>
          <w:lang w:eastAsia="en-GB"/>
        </w:rPr>
        <w:t xml:space="preserve">2.4 </w:t>
      </w:r>
      <w:r w:rsidR="00D149DD" w:rsidRPr="002407CC">
        <w:rPr>
          <w:rFonts w:eastAsia="Times New Roman" w:cs="Times New Roman"/>
          <w:b/>
          <w:u w:val="single"/>
          <w:lang w:eastAsia="en-GB"/>
        </w:rPr>
        <w:t>Integration</w:t>
      </w:r>
    </w:p>
    <w:p w:rsidR="005E2D1B" w:rsidRPr="005E2D1B" w:rsidRDefault="00B03B34" w:rsidP="00D149DD">
      <w:pPr>
        <w:numPr>
          <w:ilvl w:val="0"/>
          <w:numId w:val="4"/>
        </w:numPr>
        <w:spacing w:after="120" w:line="240" w:lineRule="auto"/>
        <w:contextualSpacing/>
        <w:rPr>
          <w:rFonts w:eastAsia="Times New Roman" w:cs="Times New Roman"/>
          <w:lang w:eastAsia="en-GB"/>
        </w:rPr>
      </w:pPr>
      <w:r w:rsidRPr="005E2D1B">
        <w:rPr>
          <w:rFonts w:eastAsiaTheme="minorEastAsia"/>
          <w:spacing w:val="-10"/>
          <w:kern w:val="24"/>
          <w:lang w:eastAsia="en-GB"/>
        </w:rPr>
        <w:t>Liaison between primary and secondary care (pharmacists) for discharge planning and medicines reconciliation</w:t>
      </w:r>
    </w:p>
    <w:p w:rsidR="005E2D1B" w:rsidRPr="005E2D1B" w:rsidRDefault="00B03B34" w:rsidP="00D149DD">
      <w:pPr>
        <w:numPr>
          <w:ilvl w:val="0"/>
          <w:numId w:val="4"/>
        </w:numPr>
        <w:spacing w:after="120" w:line="240" w:lineRule="auto"/>
        <w:contextualSpacing/>
        <w:rPr>
          <w:rFonts w:eastAsia="Times New Roman" w:cs="Times New Roman"/>
          <w:lang w:eastAsia="en-GB"/>
        </w:rPr>
      </w:pPr>
      <w:r w:rsidRPr="005E2D1B">
        <w:rPr>
          <w:rFonts w:eastAsiaTheme="minorEastAsia"/>
          <w:spacing w:val="-10"/>
          <w:kern w:val="24"/>
          <w:lang w:eastAsia="en-GB"/>
        </w:rPr>
        <w:t>Proactive management of repeat prescription collection from pharmacies - reduction in medicines waste</w:t>
      </w:r>
    </w:p>
    <w:p w:rsidR="005E2D1B" w:rsidRPr="005E2D1B" w:rsidRDefault="00B03B34" w:rsidP="00D149DD">
      <w:pPr>
        <w:numPr>
          <w:ilvl w:val="0"/>
          <w:numId w:val="4"/>
        </w:numPr>
        <w:spacing w:after="120" w:line="240" w:lineRule="auto"/>
        <w:contextualSpacing/>
        <w:rPr>
          <w:rFonts w:eastAsia="Times New Roman" w:cs="Times New Roman"/>
          <w:lang w:eastAsia="en-GB"/>
        </w:rPr>
      </w:pPr>
      <w:r w:rsidRPr="005E2D1B">
        <w:rPr>
          <w:rFonts w:eastAsiaTheme="minorEastAsia"/>
          <w:spacing w:val="-10"/>
          <w:kern w:val="24"/>
          <w:lang w:eastAsia="en-GB"/>
        </w:rPr>
        <w:t>Engagement with community pharmacists to drive better use and uptakes of MURs, NMS repeat dispensing and EPS2 – direct case load management</w:t>
      </w:r>
    </w:p>
    <w:p w:rsidR="005E2D1B" w:rsidRPr="005E2D1B" w:rsidRDefault="00B03B34" w:rsidP="00D149DD">
      <w:pPr>
        <w:numPr>
          <w:ilvl w:val="0"/>
          <w:numId w:val="4"/>
        </w:numPr>
        <w:spacing w:after="120" w:line="240" w:lineRule="auto"/>
        <w:contextualSpacing/>
        <w:rPr>
          <w:rFonts w:eastAsia="Times New Roman" w:cs="Times New Roman"/>
          <w:lang w:eastAsia="en-GB"/>
        </w:rPr>
      </w:pPr>
      <w:r w:rsidRPr="005E2D1B">
        <w:rPr>
          <w:rFonts w:eastAsiaTheme="minorEastAsia"/>
          <w:spacing w:val="-10"/>
          <w:kern w:val="24"/>
          <w:lang w:eastAsia="en-GB"/>
        </w:rPr>
        <w:t>Integration with CCG medicines management / optimisation teams – ensure strategic direction is implemented</w:t>
      </w:r>
    </w:p>
    <w:p w:rsidR="00D149DD" w:rsidRPr="002407CC" w:rsidRDefault="00D149DD" w:rsidP="00D149DD">
      <w:pPr>
        <w:pStyle w:val="ListParagraph"/>
        <w:spacing w:after="0" w:line="321" w:lineRule="auto"/>
        <w:ind w:left="405"/>
        <w:rPr>
          <w:rFonts w:eastAsia="Times New Roman" w:cs="Times New Roman"/>
          <w:lang w:eastAsia="en-GB"/>
        </w:rPr>
      </w:pPr>
    </w:p>
    <w:p w:rsidR="00D149DD" w:rsidRPr="002407CC" w:rsidRDefault="000E4C80" w:rsidP="000E4C80">
      <w:pPr>
        <w:spacing w:after="0" w:line="321" w:lineRule="auto"/>
        <w:ind w:left="405"/>
        <w:rPr>
          <w:rFonts w:eastAsia="Times New Roman" w:cs="Times New Roman"/>
          <w:b/>
          <w:u w:val="single"/>
          <w:lang w:eastAsia="en-GB"/>
        </w:rPr>
      </w:pPr>
      <w:r>
        <w:rPr>
          <w:b/>
          <w:u w:val="single"/>
        </w:rPr>
        <w:t xml:space="preserve">2.5 </w:t>
      </w:r>
      <w:proofErr w:type="spellStart"/>
      <w:r w:rsidR="00D149DD" w:rsidRPr="002407CC">
        <w:rPr>
          <w:b/>
          <w:u w:val="single"/>
        </w:rPr>
        <w:t>All inclusive</w:t>
      </w:r>
      <w:proofErr w:type="spellEnd"/>
      <w:r w:rsidR="00D149DD" w:rsidRPr="002407CC">
        <w:rPr>
          <w:b/>
          <w:u w:val="single"/>
        </w:rPr>
        <w:t xml:space="preserve"> service – which includes;</w:t>
      </w:r>
    </w:p>
    <w:p w:rsidR="00D149DD" w:rsidRPr="002407CC" w:rsidRDefault="00D149DD" w:rsidP="00D149DD">
      <w:pPr>
        <w:pStyle w:val="ListParagraph"/>
        <w:numPr>
          <w:ilvl w:val="0"/>
          <w:numId w:val="1"/>
        </w:numPr>
        <w:spacing w:after="0" w:line="240" w:lineRule="auto"/>
        <w:ind w:left="1434" w:hanging="357"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Recruitment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 xml:space="preserve">Employment </w:t>
      </w:r>
      <w:proofErr w:type="spellStart"/>
      <w:r w:rsidRPr="002407CC">
        <w:rPr>
          <w:rFonts w:eastAsiaTheme="minorEastAsia"/>
          <w:spacing w:val="-10"/>
          <w:kern w:val="24"/>
          <w:lang w:eastAsia="en-GB"/>
        </w:rPr>
        <w:t>inc.</w:t>
      </w:r>
      <w:proofErr w:type="spellEnd"/>
      <w:r w:rsidRPr="002407CC">
        <w:rPr>
          <w:rFonts w:eastAsiaTheme="minorEastAsia"/>
          <w:spacing w:val="-10"/>
          <w:kern w:val="24"/>
          <w:lang w:eastAsia="en-GB"/>
        </w:rPr>
        <w:t xml:space="preserve"> all checks, HR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 xml:space="preserve">Pension 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Indemnity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Parental leave, long-term sick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On-going professional development &amp; training</w:t>
      </w:r>
    </w:p>
    <w:p w:rsidR="00D149DD" w:rsidRPr="002407CC" w:rsidRDefault="00D149DD" w:rsidP="00D149DD">
      <w:pPr>
        <w:numPr>
          <w:ilvl w:val="0"/>
          <w:numId w:val="1"/>
        </w:numPr>
        <w:spacing w:after="0" w:line="240" w:lineRule="auto"/>
        <w:ind w:left="1434" w:hanging="357"/>
        <w:contextualSpacing/>
        <w:rPr>
          <w:rFonts w:eastAsia="Times New Roman" w:cs="Times New Roman"/>
          <w:lang w:eastAsia="en-GB"/>
        </w:rPr>
      </w:pPr>
      <w:r w:rsidRPr="002407CC">
        <w:rPr>
          <w:rFonts w:eastAsiaTheme="minorEastAsia"/>
          <w:spacing w:val="-10"/>
          <w:kern w:val="24"/>
          <w:lang w:eastAsia="en-GB"/>
        </w:rPr>
        <w:t>End of 4 years – retain the risk of the pharmacists</w:t>
      </w:r>
    </w:p>
    <w:p w:rsidR="00D149DD" w:rsidRPr="002407CC" w:rsidRDefault="00D149DD" w:rsidP="00D149DD"/>
    <w:p w:rsidR="00D149DD" w:rsidRPr="0014043C" w:rsidRDefault="00D149DD" w:rsidP="00D149DD">
      <w:pPr>
        <w:rPr>
          <w:b/>
          <w:u w:val="single"/>
        </w:rPr>
      </w:pPr>
      <w:r w:rsidRPr="0014043C">
        <w:rPr>
          <w:b/>
          <w:u w:val="single"/>
        </w:rPr>
        <w:t>Benefits of this approach;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Hub and spoke model – which brings flexibility and consistency of service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Hub - covers all pharmacy queries 5 days a week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Spokes – practice based – providing a bespoke clinical service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Takes the recruitment and management burden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Removes the risk of employment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Practices will be involved in the recruitment of pharmacists in the localities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Provides effective cross cover, as necessary</w:t>
      </w:r>
    </w:p>
    <w:p w:rsidR="00D149DD" w:rsidRDefault="00D149DD" w:rsidP="00D149DD">
      <w:pPr>
        <w:pStyle w:val="ListParagraph"/>
        <w:numPr>
          <w:ilvl w:val="0"/>
          <w:numId w:val="5"/>
        </w:numPr>
      </w:pPr>
      <w:r>
        <w:t>Flexibility for moving pharmacists around, as necessary</w:t>
      </w:r>
    </w:p>
    <w:p w:rsidR="00D149DD" w:rsidRDefault="00D149DD" w:rsidP="00D149DD"/>
    <w:p w:rsidR="002223CF" w:rsidRPr="009C2BDD" w:rsidRDefault="009C2BDD" w:rsidP="009C2BDD">
      <w:pPr>
        <w:pStyle w:val="ListParagraph"/>
        <w:numPr>
          <w:ilvl w:val="0"/>
          <w:numId w:val="7"/>
        </w:numPr>
        <w:spacing w:after="0" w:line="321" w:lineRule="auto"/>
        <w:rPr>
          <w:b/>
          <w:u w:val="single"/>
        </w:rPr>
      </w:pPr>
      <w:r>
        <w:rPr>
          <w:b/>
          <w:u w:val="single"/>
        </w:rPr>
        <w:t xml:space="preserve"> Costings</w:t>
      </w:r>
    </w:p>
    <w:p w:rsidR="00375A03" w:rsidRPr="00991B28" w:rsidRDefault="00DA611D" w:rsidP="002223CF">
      <w:pPr>
        <w:spacing w:after="0" w:line="321" w:lineRule="auto"/>
        <w:rPr>
          <w:rFonts w:eastAsia="Times New Roman" w:cs="Times New Roman"/>
          <w:lang w:eastAsia="en-GB"/>
        </w:rPr>
      </w:pPr>
      <w:r>
        <w:rPr>
          <w:b/>
        </w:rPr>
        <w:t>C</w:t>
      </w:r>
      <w:r>
        <w:rPr>
          <w:rFonts w:eastAsia="Times New Roman" w:cs="Times New Roman"/>
          <w:b/>
          <w:lang w:eastAsia="en-GB"/>
        </w:rPr>
        <w:t>ostings for this</w:t>
      </w:r>
      <w:r w:rsidR="00375A03" w:rsidRPr="009C2BDD">
        <w:rPr>
          <w:rFonts w:eastAsia="Times New Roman" w:cs="Times New Roman"/>
          <w:b/>
          <w:lang w:eastAsia="en-GB"/>
        </w:rPr>
        <w:t xml:space="preserve"> </w:t>
      </w:r>
      <w:r>
        <w:rPr>
          <w:rFonts w:eastAsia="Times New Roman" w:cs="Times New Roman"/>
          <w:b/>
          <w:lang w:eastAsia="en-GB"/>
        </w:rPr>
        <w:t>option are shown in Appendix</w:t>
      </w:r>
      <w:r w:rsidR="000707F4">
        <w:rPr>
          <w:rFonts w:eastAsia="Times New Roman" w:cs="Times New Roman"/>
          <w:b/>
          <w:lang w:eastAsia="en-GB"/>
        </w:rPr>
        <w:t xml:space="preserve"> 2</w:t>
      </w:r>
      <w:r w:rsidR="00991B28">
        <w:rPr>
          <w:rFonts w:eastAsia="Times New Roman" w:cs="Times New Roman"/>
          <w:lang w:eastAsia="en-GB"/>
        </w:rPr>
        <w:t xml:space="preserve"> in year1.</w:t>
      </w:r>
    </w:p>
    <w:p w:rsidR="00CE4A9E" w:rsidRPr="008B287F" w:rsidRDefault="008B287F" w:rsidP="008B287F">
      <w:pPr>
        <w:pStyle w:val="ListParagraph"/>
        <w:numPr>
          <w:ilvl w:val="0"/>
          <w:numId w:val="11"/>
        </w:numPr>
        <w:spacing w:after="0" w:line="321" w:lineRule="auto"/>
        <w:rPr>
          <w:rFonts w:eastAsia="Times New Roman" w:cs="Times New Roman"/>
          <w:lang w:eastAsia="en-GB"/>
        </w:rPr>
      </w:pPr>
      <w:r w:rsidRPr="008B287F">
        <w:rPr>
          <w:rFonts w:eastAsia="Times New Roman" w:cs="Times New Roman"/>
          <w:lang w:eastAsia="en-GB"/>
        </w:rPr>
        <w:t>T</w:t>
      </w:r>
      <w:r w:rsidR="00CF50B8" w:rsidRPr="008B287F">
        <w:rPr>
          <w:rFonts w:eastAsia="Times New Roman" w:cs="Times New Roman"/>
          <w:lang w:eastAsia="en-GB"/>
        </w:rPr>
        <w:t>he indicative costings suggest</w:t>
      </w:r>
      <w:r w:rsidR="00DA611D" w:rsidRPr="008B287F">
        <w:rPr>
          <w:rFonts w:eastAsia="Times New Roman" w:cs="Times New Roman"/>
          <w:lang w:eastAsia="en-GB"/>
        </w:rPr>
        <w:t xml:space="preserve"> a cost of</w:t>
      </w:r>
      <w:r w:rsidR="00CE4A9E" w:rsidRPr="008B287F">
        <w:rPr>
          <w:rFonts w:eastAsia="Times New Roman" w:cs="Times New Roman"/>
          <w:b/>
          <w:lang w:eastAsia="en-GB"/>
        </w:rPr>
        <w:t xml:space="preserve"> </w:t>
      </w:r>
      <w:r w:rsidRPr="008B287F">
        <w:rPr>
          <w:rFonts w:eastAsia="Times New Roman" w:cs="Times New Roman"/>
          <w:b/>
          <w:u w:val="single"/>
          <w:lang w:eastAsia="en-GB"/>
        </w:rPr>
        <w:t>£2.2</w:t>
      </w:r>
      <w:r w:rsidR="00C4125D">
        <w:rPr>
          <w:rFonts w:eastAsia="Times New Roman" w:cs="Times New Roman"/>
          <w:b/>
          <w:u w:val="single"/>
          <w:lang w:eastAsia="en-GB"/>
        </w:rPr>
        <w:t>2</w:t>
      </w:r>
      <w:r w:rsidR="00CE4A9E" w:rsidRPr="008B287F">
        <w:rPr>
          <w:rFonts w:eastAsia="Times New Roman" w:cs="Times New Roman"/>
          <w:b/>
          <w:lang w:eastAsia="en-GB"/>
        </w:rPr>
        <w:t xml:space="preserve"> per patient</w:t>
      </w:r>
      <w:r w:rsidRPr="008B287F">
        <w:rPr>
          <w:rFonts w:eastAsia="Times New Roman" w:cs="Times New Roman"/>
          <w:b/>
          <w:lang w:eastAsia="en-GB"/>
        </w:rPr>
        <w:t>.</w:t>
      </w:r>
    </w:p>
    <w:p w:rsidR="008B287F" w:rsidRPr="008B287F" w:rsidRDefault="008B287F" w:rsidP="008B287F">
      <w:pPr>
        <w:pStyle w:val="ListParagraph"/>
        <w:numPr>
          <w:ilvl w:val="0"/>
          <w:numId w:val="11"/>
        </w:numPr>
        <w:spacing w:after="0" w:line="321" w:lineRule="auto"/>
        <w:rPr>
          <w:rFonts w:eastAsia="Times New Roman" w:cs="Times New Roman"/>
          <w:lang w:eastAsia="en-GB"/>
        </w:rPr>
      </w:pPr>
      <w:r w:rsidRPr="008B287F">
        <w:rPr>
          <w:rFonts w:eastAsia="Times New Roman" w:cs="Times New Roman"/>
          <w:lang w:eastAsia="en-GB"/>
        </w:rPr>
        <w:t xml:space="preserve">It is </w:t>
      </w:r>
      <w:r>
        <w:rPr>
          <w:rFonts w:eastAsia="Times New Roman" w:cs="Times New Roman"/>
          <w:lang w:eastAsia="en-GB"/>
        </w:rPr>
        <w:t>likely that there will be an increase related to</w:t>
      </w:r>
      <w:r w:rsidR="00C52B7A">
        <w:rPr>
          <w:rFonts w:eastAsia="Times New Roman" w:cs="Times New Roman"/>
          <w:lang w:eastAsia="en-GB"/>
        </w:rPr>
        <w:t xml:space="preserve"> pay increases in years 2 -4.  An increase @2% per year has been assumed but this needs to be confirmed.</w:t>
      </w:r>
    </w:p>
    <w:p w:rsidR="00FA3A51" w:rsidRDefault="00FA3A51" w:rsidP="00FA3A51">
      <w:pPr>
        <w:rPr>
          <w:b/>
        </w:rPr>
      </w:pPr>
    </w:p>
    <w:p w:rsidR="0032671F" w:rsidRPr="00613DE8" w:rsidRDefault="0032671F" w:rsidP="00FA3A51">
      <w:pPr>
        <w:pStyle w:val="ListParagraph"/>
        <w:numPr>
          <w:ilvl w:val="0"/>
          <w:numId w:val="7"/>
        </w:numPr>
        <w:rPr>
          <w:b/>
          <w:u w:val="single"/>
        </w:rPr>
      </w:pPr>
      <w:r w:rsidRPr="00613DE8">
        <w:rPr>
          <w:b/>
          <w:u w:val="single"/>
        </w:rPr>
        <w:t xml:space="preserve">Lead practice(s) </w:t>
      </w:r>
    </w:p>
    <w:p w:rsidR="0032671F" w:rsidRDefault="00FA3A51" w:rsidP="00FA3A51">
      <w:r>
        <w:t xml:space="preserve">Subject to updated guidance from NHS England which may enable the Federation to hold this contract directly, </w:t>
      </w:r>
      <w:r w:rsidR="0032671F">
        <w:t xml:space="preserve">we need to identify lead practices to hold the contract with NHS England </w:t>
      </w:r>
      <w:r>
        <w:t xml:space="preserve">and </w:t>
      </w:r>
      <w:r w:rsidR="0032671F">
        <w:t>receive the funding</w:t>
      </w:r>
      <w:r>
        <w:t xml:space="preserve">.  </w:t>
      </w:r>
      <w:r w:rsidR="0032671F">
        <w:t xml:space="preserve">The Federation will </w:t>
      </w:r>
      <w:r w:rsidR="00991B28">
        <w:t xml:space="preserve">fully manage and </w:t>
      </w:r>
      <w:r w:rsidR="0032671F">
        <w:t>support this</w:t>
      </w:r>
      <w:r w:rsidR="00991B28">
        <w:t xml:space="preserve"> process</w:t>
      </w:r>
      <w:r w:rsidR="0032671F">
        <w:t>.</w:t>
      </w:r>
    </w:p>
    <w:p w:rsidR="0032671F" w:rsidRPr="00FA3A51" w:rsidRDefault="00FA3A51" w:rsidP="00FA3A51">
      <w:pPr>
        <w:rPr>
          <w:b/>
        </w:rPr>
      </w:pPr>
      <w:r w:rsidRPr="00FA3A51">
        <w:rPr>
          <w:b/>
        </w:rPr>
        <w:t>If the scenario that this is necessary,</w:t>
      </w:r>
      <w:r>
        <w:rPr>
          <w:b/>
        </w:rPr>
        <w:t xml:space="preserve"> </w:t>
      </w:r>
      <w:r w:rsidR="0032671F" w:rsidRPr="00FA3A51">
        <w:rPr>
          <w:b/>
        </w:rPr>
        <w:t xml:space="preserve">we have asked the Croft, County, Oakham, Forest House and Glenfield or </w:t>
      </w:r>
      <w:proofErr w:type="gramStart"/>
      <w:r>
        <w:rPr>
          <w:b/>
        </w:rPr>
        <w:t>T</w:t>
      </w:r>
      <w:r w:rsidR="0032671F" w:rsidRPr="00FA3A51">
        <w:rPr>
          <w:b/>
        </w:rPr>
        <w:t>he</w:t>
      </w:r>
      <w:proofErr w:type="gramEnd"/>
      <w:r w:rsidR="0032671F" w:rsidRPr="00FA3A51">
        <w:rPr>
          <w:b/>
        </w:rPr>
        <w:t xml:space="preserve"> Limes to fulfil this function for their respective groupings.</w:t>
      </w:r>
    </w:p>
    <w:p w:rsidR="0032671F" w:rsidRDefault="0032671F" w:rsidP="00FA3A51">
      <w:r>
        <w:t>We will then put a contract in place between the lead practice</w:t>
      </w:r>
      <w:r w:rsidR="00FA3A51">
        <w:t>s</w:t>
      </w:r>
      <w:r>
        <w:t xml:space="preserve"> and Soar Beyond for th</w:t>
      </w:r>
      <w:r w:rsidR="00991B28">
        <w:t>e management of the pharmacists and relevant indemnity arrangements with partner practices, as necessary.</w:t>
      </w:r>
    </w:p>
    <w:p w:rsidR="003E6D55" w:rsidRDefault="003E6D55" w:rsidP="00375A03">
      <w:pPr>
        <w:spacing w:after="0" w:line="240" w:lineRule="auto"/>
        <w:contextualSpacing/>
        <w:rPr>
          <w:rFonts w:eastAsia="Times New Roman" w:cs="Times New Roman"/>
          <w:lang w:eastAsia="en-GB"/>
        </w:rPr>
      </w:pPr>
    </w:p>
    <w:p w:rsidR="00375A03" w:rsidRPr="003E6D55" w:rsidRDefault="00375A03" w:rsidP="00375A03">
      <w:pPr>
        <w:pStyle w:val="ListParagraph"/>
        <w:numPr>
          <w:ilvl w:val="0"/>
          <w:numId w:val="7"/>
        </w:numPr>
        <w:rPr>
          <w:b/>
          <w:u w:val="single"/>
        </w:rPr>
      </w:pPr>
      <w:r w:rsidRPr="003E6D55">
        <w:rPr>
          <w:b/>
          <w:u w:val="single"/>
        </w:rPr>
        <w:t>Next steps</w:t>
      </w:r>
    </w:p>
    <w:tbl>
      <w:tblPr>
        <w:tblStyle w:val="TableGrid"/>
        <w:tblW w:w="8331" w:type="dxa"/>
        <w:tblInd w:w="360" w:type="dxa"/>
        <w:tblLook w:val="04A0" w:firstRow="1" w:lastRow="0" w:firstColumn="1" w:lastColumn="0" w:noHBand="0" w:noVBand="1"/>
      </w:tblPr>
      <w:tblGrid>
        <w:gridCol w:w="599"/>
        <w:gridCol w:w="6134"/>
        <w:gridCol w:w="1598"/>
      </w:tblGrid>
      <w:tr w:rsidR="00375A03" w:rsidRPr="00DD2980" w:rsidTr="00BD592A">
        <w:tc>
          <w:tcPr>
            <w:tcW w:w="599" w:type="dxa"/>
          </w:tcPr>
          <w:p w:rsidR="00375A03" w:rsidRPr="00DD2980" w:rsidRDefault="00375A03" w:rsidP="00BD592A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134" w:type="dxa"/>
          </w:tcPr>
          <w:p w:rsidR="00375A03" w:rsidRPr="00DD2980" w:rsidRDefault="00375A03" w:rsidP="00BD592A">
            <w:pPr>
              <w:rPr>
                <w:rFonts w:asciiTheme="minorHAnsi" w:hAnsiTheme="minorHAnsi"/>
                <w:b/>
              </w:rPr>
            </w:pPr>
            <w:r w:rsidRPr="00DD2980">
              <w:rPr>
                <w:rFonts w:asciiTheme="minorHAnsi" w:hAnsiTheme="minorHAnsi"/>
                <w:b/>
              </w:rPr>
              <w:t>Task</w:t>
            </w:r>
          </w:p>
        </w:tc>
        <w:tc>
          <w:tcPr>
            <w:tcW w:w="1598" w:type="dxa"/>
          </w:tcPr>
          <w:p w:rsidR="00375A03" w:rsidRPr="00DD2980" w:rsidRDefault="00375A03" w:rsidP="00BD592A">
            <w:pPr>
              <w:rPr>
                <w:rFonts w:asciiTheme="minorHAnsi" w:hAnsiTheme="minorHAnsi"/>
                <w:b/>
              </w:rPr>
            </w:pPr>
            <w:r w:rsidRPr="00DD2980">
              <w:rPr>
                <w:rFonts w:asciiTheme="minorHAnsi" w:hAnsiTheme="minorHAnsi"/>
                <w:b/>
              </w:rPr>
              <w:t>When</w:t>
            </w:r>
          </w:p>
        </w:tc>
      </w:tr>
      <w:tr w:rsidR="00A145CA" w:rsidRPr="00A145CA" w:rsidTr="00BD592A">
        <w:tc>
          <w:tcPr>
            <w:tcW w:w="599" w:type="dxa"/>
          </w:tcPr>
          <w:p w:rsidR="00A145CA" w:rsidRPr="00A145CA" w:rsidRDefault="00A145CA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6134" w:type="dxa"/>
          </w:tcPr>
          <w:p w:rsidR="00A145CA" w:rsidRPr="00A145CA" w:rsidRDefault="00C1004E" w:rsidP="00C100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 confirmation from p</w:t>
            </w:r>
            <w:r w:rsidR="00A145CA" w:rsidRPr="00A145CA">
              <w:rPr>
                <w:rFonts w:asciiTheme="minorHAnsi" w:hAnsiTheme="minorHAnsi"/>
                <w:sz w:val="22"/>
                <w:szCs w:val="22"/>
              </w:rPr>
              <w:t xml:space="preserve">ractices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they will </w:t>
            </w:r>
            <w:r w:rsidR="00A145CA">
              <w:rPr>
                <w:rFonts w:asciiTheme="minorHAnsi" w:hAnsiTheme="minorHAnsi"/>
                <w:sz w:val="22"/>
                <w:szCs w:val="22"/>
              </w:rPr>
              <w:t>take part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the scheme.</w:t>
            </w:r>
          </w:p>
        </w:tc>
        <w:tc>
          <w:tcPr>
            <w:tcW w:w="1598" w:type="dxa"/>
          </w:tcPr>
          <w:p w:rsidR="00A145CA" w:rsidRPr="00A145CA" w:rsidRDefault="00C1004E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9B2BDC">
              <w:rPr>
                <w:rFonts w:asciiTheme="minorHAnsi" w:hAnsiTheme="minorHAnsi"/>
                <w:sz w:val="22"/>
                <w:szCs w:val="22"/>
              </w:rPr>
              <w:t>/09</w:t>
            </w:r>
          </w:p>
        </w:tc>
      </w:tr>
      <w:tr w:rsidR="00375A03" w:rsidRPr="00DD2980" w:rsidTr="00BD592A">
        <w:tc>
          <w:tcPr>
            <w:tcW w:w="599" w:type="dxa"/>
          </w:tcPr>
          <w:p w:rsidR="00375A03" w:rsidRPr="00DD2980" w:rsidRDefault="00A145CA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75A0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34" w:type="dxa"/>
          </w:tcPr>
          <w:p w:rsidR="00375A03" w:rsidRPr="00DD2980" w:rsidRDefault="00375A03" w:rsidP="00BD59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D2980">
              <w:rPr>
                <w:rFonts w:asciiTheme="minorHAnsi" w:hAnsiTheme="minorHAnsi"/>
                <w:sz w:val="22"/>
                <w:szCs w:val="22"/>
              </w:rPr>
              <w:t xml:space="preserve">Finalise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financial model and </w:t>
            </w:r>
            <w:r w:rsidRPr="00DD2980">
              <w:rPr>
                <w:rFonts w:asciiTheme="minorHAnsi" w:hAnsiTheme="minorHAnsi"/>
                <w:sz w:val="22"/>
                <w:szCs w:val="22"/>
              </w:rPr>
              <w:t>costs per practice</w:t>
            </w:r>
            <w:r w:rsidR="00C100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598" w:type="dxa"/>
          </w:tcPr>
          <w:p w:rsidR="00375A03" w:rsidRPr="00DD2980" w:rsidRDefault="00C1004E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375A03">
              <w:rPr>
                <w:rFonts w:asciiTheme="minorHAnsi" w:hAnsiTheme="minorHAnsi"/>
                <w:sz w:val="22"/>
                <w:szCs w:val="22"/>
              </w:rPr>
              <w:t>/09</w:t>
            </w:r>
          </w:p>
        </w:tc>
      </w:tr>
      <w:tr w:rsidR="00375A03" w:rsidRPr="00DD2980" w:rsidTr="00BD592A">
        <w:tc>
          <w:tcPr>
            <w:tcW w:w="599" w:type="dxa"/>
          </w:tcPr>
          <w:p w:rsidR="00375A03" w:rsidRPr="00DD2980" w:rsidRDefault="00A145CA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375A0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34" w:type="dxa"/>
          </w:tcPr>
          <w:p w:rsidR="00375A03" w:rsidRPr="00DD2980" w:rsidRDefault="00C1004E" w:rsidP="00C100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Confirm the lead practices</w:t>
            </w:r>
          </w:p>
        </w:tc>
        <w:tc>
          <w:tcPr>
            <w:tcW w:w="1598" w:type="dxa"/>
          </w:tcPr>
          <w:p w:rsidR="00375A03" w:rsidRPr="00DD2980" w:rsidRDefault="00C1004E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375A03">
              <w:rPr>
                <w:rFonts w:asciiTheme="minorHAnsi" w:hAnsiTheme="minorHAnsi"/>
                <w:sz w:val="22"/>
                <w:szCs w:val="22"/>
              </w:rPr>
              <w:t>/09</w:t>
            </w:r>
          </w:p>
        </w:tc>
      </w:tr>
      <w:tr w:rsidR="00375A03" w:rsidRPr="00DD2980" w:rsidTr="00BD592A">
        <w:tc>
          <w:tcPr>
            <w:tcW w:w="599" w:type="dxa"/>
          </w:tcPr>
          <w:p w:rsidR="00375A03" w:rsidRPr="00DD2980" w:rsidRDefault="00A145CA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375A0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34" w:type="dxa"/>
          </w:tcPr>
          <w:p w:rsidR="00375A03" w:rsidRPr="00DD2980" w:rsidRDefault="00375A03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Finalise application</w:t>
            </w:r>
          </w:p>
        </w:tc>
        <w:tc>
          <w:tcPr>
            <w:tcW w:w="1598" w:type="dxa"/>
          </w:tcPr>
          <w:p w:rsidR="00375A03" w:rsidRPr="00DD2980" w:rsidRDefault="00375A03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22/09</w:t>
            </w:r>
          </w:p>
        </w:tc>
      </w:tr>
      <w:tr w:rsidR="00375A03" w:rsidRPr="00DD2980" w:rsidTr="00BD592A">
        <w:tc>
          <w:tcPr>
            <w:tcW w:w="599" w:type="dxa"/>
          </w:tcPr>
          <w:p w:rsidR="00375A03" w:rsidRPr="00DD2980" w:rsidRDefault="00A145CA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="00375A0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134" w:type="dxa"/>
          </w:tcPr>
          <w:p w:rsidR="00375A03" w:rsidRPr="00DD2980" w:rsidRDefault="00375A03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 application</w:t>
            </w:r>
          </w:p>
        </w:tc>
        <w:tc>
          <w:tcPr>
            <w:tcW w:w="1598" w:type="dxa"/>
          </w:tcPr>
          <w:p w:rsidR="00375A03" w:rsidRPr="00DD2980" w:rsidRDefault="00375A03" w:rsidP="00BD592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27/09</w:t>
            </w:r>
          </w:p>
        </w:tc>
      </w:tr>
    </w:tbl>
    <w:p w:rsidR="008B287F" w:rsidRDefault="008B287F" w:rsidP="00375A03"/>
    <w:p w:rsidR="00375A03" w:rsidRDefault="00375A03" w:rsidP="00375A03">
      <w:r>
        <w:t xml:space="preserve">John Nicholls, Head of Medicines, is assisting with the application.  </w:t>
      </w:r>
    </w:p>
    <w:p w:rsidR="00375A03" w:rsidRPr="006C2B49" w:rsidRDefault="00E13085" w:rsidP="00375A03">
      <w:pPr>
        <w:pStyle w:val="ListParagraph"/>
        <w:numPr>
          <w:ilvl w:val="0"/>
          <w:numId w:val="7"/>
        </w:numPr>
        <w:rPr>
          <w:b/>
          <w:u w:val="single"/>
        </w:rPr>
      </w:pPr>
      <w:r>
        <w:rPr>
          <w:b/>
          <w:u w:val="single"/>
        </w:rPr>
        <w:t>Patient involvement</w:t>
      </w:r>
      <w:r w:rsidR="00C1004E">
        <w:rPr>
          <w:b/>
          <w:u w:val="single"/>
        </w:rPr>
        <w:t xml:space="preserve"> question</w:t>
      </w:r>
    </w:p>
    <w:p w:rsidR="00375A03" w:rsidRDefault="00375A03" w:rsidP="00375A03">
      <w:pPr>
        <w:rPr>
          <w:b/>
          <w:i/>
        </w:rPr>
      </w:pPr>
      <w:r w:rsidRPr="00901582">
        <w:rPr>
          <w:b/>
          <w:i/>
        </w:rPr>
        <w:t xml:space="preserve">Have patients been involved in developing this proposal </w:t>
      </w:r>
      <w:proofErr w:type="spellStart"/>
      <w:r w:rsidRPr="00901582">
        <w:rPr>
          <w:b/>
          <w:i/>
        </w:rPr>
        <w:t>eg</w:t>
      </w:r>
      <w:proofErr w:type="spellEnd"/>
      <w:r w:rsidRPr="00901582">
        <w:rPr>
          <w:b/>
          <w:i/>
        </w:rPr>
        <w:t>, through your public and patient participation groups</w:t>
      </w:r>
      <w:r>
        <w:rPr>
          <w:b/>
          <w:i/>
        </w:rPr>
        <w:t>?</w:t>
      </w:r>
    </w:p>
    <w:p w:rsidR="00DA611D" w:rsidRDefault="00612112" w:rsidP="00612112">
      <w:pPr>
        <w:pStyle w:val="ListParagraph"/>
        <w:numPr>
          <w:ilvl w:val="0"/>
          <w:numId w:val="10"/>
        </w:numPr>
      </w:pPr>
      <w:r>
        <w:t xml:space="preserve">Many thanks </w:t>
      </w:r>
      <w:r w:rsidR="00375A03">
        <w:t xml:space="preserve">for </w:t>
      </w:r>
      <w:r w:rsidR="00DA611D">
        <w:t xml:space="preserve">the feedback that I have </w:t>
      </w:r>
      <w:r>
        <w:t>received</w:t>
      </w:r>
      <w:r w:rsidR="00DA611D">
        <w:t xml:space="preserve"> to assist with this question.</w:t>
      </w:r>
    </w:p>
    <w:p w:rsidR="00612112" w:rsidRDefault="00612112" w:rsidP="00612112">
      <w:pPr>
        <w:pStyle w:val="ListParagraph"/>
        <w:numPr>
          <w:ilvl w:val="0"/>
          <w:numId w:val="10"/>
        </w:numPr>
      </w:pPr>
      <w:r>
        <w:t>FYI</w:t>
      </w:r>
      <w:r w:rsidR="00DA611D">
        <w:t xml:space="preserve">, I updated the PPG Chairs on these plans at their networking event on </w:t>
      </w:r>
      <w:r>
        <w:t>7</w:t>
      </w:r>
      <w:r w:rsidRPr="00612112">
        <w:rPr>
          <w:vertAlign w:val="superscript"/>
        </w:rPr>
        <w:t>th</w:t>
      </w:r>
      <w:r>
        <w:t xml:space="preserve"> September 2017.</w:t>
      </w:r>
    </w:p>
    <w:p w:rsidR="00612112" w:rsidRDefault="00612112" w:rsidP="00612112">
      <w:pPr>
        <w:pStyle w:val="ListParagraph"/>
        <w:numPr>
          <w:ilvl w:val="0"/>
          <w:numId w:val="10"/>
        </w:numPr>
      </w:pPr>
      <w:r>
        <w:t>I would be grateful for feedback from those practices that haven’t updated on this.</w:t>
      </w:r>
    </w:p>
    <w:p w:rsidR="000707F4" w:rsidRPr="000E4C80" w:rsidRDefault="00612112" w:rsidP="000707F4">
      <w:pPr>
        <w:rPr>
          <w:b/>
          <w:u w:val="single"/>
        </w:rPr>
      </w:pPr>
      <w:r>
        <w:br w:type="page"/>
      </w:r>
      <w:r w:rsidR="000707F4">
        <w:rPr>
          <w:b/>
          <w:u w:val="single"/>
        </w:rPr>
        <w:lastRenderedPageBreak/>
        <w:t>Appendix 1</w:t>
      </w:r>
    </w:p>
    <w:p w:rsidR="000707F4" w:rsidRPr="000E4C80" w:rsidRDefault="000707F4" w:rsidP="000707F4">
      <w:pPr>
        <w:rPr>
          <w:u w:val="single"/>
        </w:rPr>
      </w:pPr>
      <w:r>
        <w:rPr>
          <w:b/>
          <w:u w:val="single"/>
        </w:rPr>
        <w:t xml:space="preserve">NHS England </w:t>
      </w:r>
      <w:r w:rsidRPr="000E4C80">
        <w:rPr>
          <w:b/>
          <w:u w:val="single"/>
        </w:rPr>
        <w:t xml:space="preserve">Scheme overview and criteria 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 xml:space="preserve">Applications must demonstrate working at scale.  The guidance indicates 1 Clinical Pharmacist per 30,000 </w:t>
      </w:r>
      <w:proofErr w:type="gramStart"/>
      <w:r>
        <w:t>population</w:t>
      </w:r>
      <w:proofErr w:type="gramEnd"/>
      <w:r>
        <w:t>.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For every 5 Clinical Pharmacists, there needs to be 1 Senior Clinical Pharmacist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Pharmacists must be part of a professional clinical network and clinically supervised by a senior clinical pharmacist and GP clinical supervisor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Pharmacists will take part in the NHS E funded education programme – up to 28 days over the first 18 months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 xml:space="preserve">Independent Prescriber eventually but not necessarily immediately 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Each Clinical Pharmacist to have 1 GP Mentor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The expectation is that the clinical pharmacists will be employed on a full time basis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>
        <w:t>Financial Implications:-</w:t>
      </w:r>
    </w:p>
    <w:p w:rsidR="000707F4" w:rsidRDefault="000707F4" w:rsidP="000707F4">
      <w:pPr>
        <w:pStyle w:val="ListParagraph"/>
        <w:numPr>
          <w:ilvl w:val="1"/>
          <w:numId w:val="6"/>
        </w:numPr>
      </w:pPr>
      <w:r>
        <w:t>Year 1 – NHS England 60%; Practice 40%</w:t>
      </w:r>
    </w:p>
    <w:p w:rsidR="000707F4" w:rsidRDefault="000707F4" w:rsidP="000707F4">
      <w:pPr>
        <w:pStyle w:val="ListParagraph"/>
        <w:numPr>
          <w:ilvl w:val="1"/>
          <w:numId w:val="6"/>
        </w:numPr>
      </w:pPr>
      <w:r>
        <w:t>Year 2 – NHS England 40%; Practice 60%</w:t>
      </w:r>
    </w:p>
    <w:p w:rsidR="000707F4" w:rsidRDefault="000707F4" w:rsidP="000707F4">
      <w:pPr>
        <w:pStyle w:val="ListParagraph"/>
        <w:numPr>
          <w:ilvl w:val="1"/>
          <w:numId w:val="6"/>
        </w:numPr>
      </w:pPr>
      <w:r>
        <w:t>Year 3 – NHS England 20%; Practice 80%</w:t>
      </w:r>
    </w:p>
    <w:p w:rsidR="000707F4" w:rsidRDefault="000707F4" w:rsidP="000707F4">
      <w:pPr>
        <w:pStyle w:val="ListParagraph"/>
        <w:numPr>
          <w:ilvl w:val="1"/>
          <w:numId w:val="6"/>
        </w:numPr>
      </w:pPr>
      <w:r>
        <w:t>Year 4 – Practice 100%</w:t>
      </w:r>
    </w:p>
    <w:p w:rsidR="000707F4" w:rsidRDefault="000707F4" w:rsidP="000707F4">
      <w:pPr>
        <w:pStyle w:val="ListParagraph"/>
        <w:numPr>
          <w:ilvl w:val="0"/>
          <w:numId w:val="6"/>
        </w:numPr>
      </w:pPr>
      <w:r w:rsidRPr="000E3290">
        <w:t>The funding that NHS England will make available is outlined in the table below.</w:t>
      </w:r>
      <w:r>
        <w:t xml:space="preserve">  </w:t>
      </w:r>
    </w:p>
    <w:tbl>
      <w:tblPr>
        <w:tblStyle w:val="TableGrid"/>
        <w:tblW w:w="8560" w:type="dxa"/>
        <w:tblInd w:w="903" w:type="dxa"/>
        <w:tblLayout w:type="fixed"/>
        <w:tblLook w:val="04A0" w:firstRow="1" w:lastRow="0" w:firstColumn="1" w:lastColumn="0" w:noHBand="0" w:noVBand="1"/>
      </w:tblPr>
      <w:tblGrid>
        <w:gridCol w:w="2040"/>
        <w:gridCol w:w="1701"/>
        <w:gridCol w:w="1417"/>
        <w:gridCol w:w="1276"/>
        <w:gridCol w:w="2126"/>
      </w:tblGrid>
      <w:tr w:rsidR="000707F4" w:rsidRPr="00DF4E0D" w:rsidTr="00AC013C">
        <w:trPr>
          <w:trHeight w:val="507"/>
        </w:trPr>
        <w:tc>
          <w:tcPr>
            <w:tcW w:w="2040" w:type="dxa"/>
            <w:vMerge w:val="restart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>NHS England contribution WTE</w:t>
            </w:r>
          </w:p>
        </w:tc>
        <w:tc>
          <w:tcPr>
            <w:tcW w:w="2126" w:type="dxa"/>
            <w:vMerge w:val="restart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>Total contribution from NHS England over the three years</w:t>
            </w:r>
          </w:p>
        </w:tc>
      </w:tr>
      <w:tr w:rsidR="000707F4" w:rsidRPr="00DF4E0D" w:rsidTr="00AC013C">
        <w:tc>
          <w:tcPr>
            <w:tcW w:w="2040" w:type="dxa"/>
            <w:vMerge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 w:rsidRPr="00DF4E0D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126" w:type="dxa"/>
            <w:vMerge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07F4" w:rsidRPr="00DF4E0D" w:rsidTr="00AC013C">
        <w:tc>
          <w:tcPr>
            <w:tcW w:w="2040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 xml:space="preserve">Clinical Pharmacist </w:t>
            </w:r>
          </w:p>
        </w:tc>
        <w:tc>
          <w:tcPr>
            <w:tcW w:w="1701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£29,000</w:t>
            </w:r>
          </w:p>
        </w:tc>
        <w:tc>
          <w:tcPr>
            <w:tcW w:w="1417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£20,000</w:t>
            </w:r>
          </w:p>
        </w:tc>
        <w:tc>
          <w:tcPr>
            <w:tcW w:w="1276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£11,000</w:t>
            </w:r>
          </w:p>
        </w:tc>
        <w:tc>
          <w:tcPr>
            <w:tcW w:w="2126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£60,000</w:t>
            </w:r>
          </w:p>
        </w:tc>
      </w:tr>
      <w:tr w:rsidR="000707F4" w:rsidRPr="00DF4E0D" w:rsidTr="00AC013C">
        <w:trPr>
          <w:trHeight w:val="700"/>
        </w:trPr>
        <w:tc>
          <w:tcPr>
            <w:tcW w:w="2040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 xml:space="preserve">Senior </w:t>
            </w: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Clinical Pharmacist</w:t>
            </w:r>
          </w:p>
        </w:tc>
        <w:tc>
          <w:tcPr>
            <w:tcW w:w="1701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£36,000</w:t>
            </w:r>
          </w:p>
        </w:tc>
        <w:tc>
          <w:tcPr>
            <w:tcW w:w="1417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£24,000</w:t>
            </w:r>
          </w:p>
        </w:tc>
        <w:tc>
          <w:tcPr>
            <w:tcW w:w="1276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£13,000</w:t>
            </w:r>
          </w:p>
        </w:tc>
        <w:tc>
          <w:tcPr>
            <w:tcW w:w="2126" w:type="dxa"/>
          </w:tcPr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707F4" w:rsidRPr="00DF4E0D" w:rsidRDefault="000707F4" w:rsidP="00AC013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4E0D">
              <w:rPr>
                <w:rFonts w:asciiTheme="minorHAnsi" w:hAnsiTheme="minorHAnsi" w:cs="Arial"/>
                <w:sz w:val="22"/>
                <w:szCs w:val="22"/>
              </w:rPr>
              <w:t>£73,000</w:t>
            </w:r>
          </w:p>
        </w:tc>
      </w:tr>
    </w:tbl>
    <w:p w:rsidR="000707F4" w:rsidRPr="00CE4249" w:rsidRDefault="000707F4" w:rsidP="000707F4">
      <w:pPr>
        <w:spacing w:line="240" w:lineRule="auto"/>
        <w:ind w:left="720"/>
        <w:rPr>
          <w:i/>
        </w:rPr>
      </w:pPr>
      <w:r w:rsidRPr="00CE4249">
        <w:rPr>
          <w:i/>
        </w:rPr>
        <w:t>Please note that the figures quoted above relate to a WTE or full time clinical pharmacist. Where the practice employs or make use of a part-time clinical pharmacist, then the contribution will be adjusted pro-rata.</w:t>
      </w:r>
    </w:p>
    <w:p w:rsidR="000707F4" w:rsidRDefault="000707F4" w:rsidP="000707F4">
      <w:pPr>
        <w:spacing w:after="0" w:line="321" w:lineRule="auto"/>
        <w:rPr>
          <w:b/>
          <w:u w:val="single"/>
        </w:rPr>
      </w:pPr>
    </w:p>
    <w:p w:rsidR="000707F4" w:rsidRDefault="000707F4" w:rsidP="000707F4">
      <w:pPr>
        <w:rPr>
          <w:b/>
          <w:u w:val="single"/>
        </w:rPr>
      </w:pPr>
    </w:p>
    <w:p w:rsidR="00612112" w:rsidRDefault="00612112"/>
    <w:p w:rsidR="000707F4" w:rsidRDefault="000707F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007BB" w:rsidRDefault="00A007BB">
      <w:pPr>
        <w:rPr>
          <w:b/>
          <w:u w:val="single"/>
        </w:rPr>
      </w:pPr>
    </w:p>
    <w:p w:rsidR="00CB78D2" w:rsidRDefault="000707F4" w:rsidP="003E6D55">
      <w:pPr>
        <w:spacing w:after="0" w:line="321" w:lineRule="auto"/>
        <w:rPr>
          <w:b/>
          <w:u w:val="single"/>
        </w:rPr>
      </w:pPr>
      <w:r>
        <w:rPr>
          <w:b/>
          <w:u w:val="single"/>
        </w:rPr>
        <w:t>Appendix 2</w:t>
      </w:r>
      <w:r w:rsidR="003E6D55">
        <w:rPr>
          <w:b/>
          <w:u w:val="single"/>
        </w:rPr>
        <w:t xml:space="preserve"> – </w:t>
      </w:r>
      <w:r w:rsidR="00341D87">
        <w:rPr>
          <w:b/>
          <w:u w:val="single"/>
        </w:rPr>
        <w:t>I</w:t>
      </w:r>
      <w:r w:rsidR="003E6D55">
        <w:rPr>
          <w:b/>
          <w:u w:val="single"/>
        </w:rPr>
        <w:t>ndicative costings</w:t>
      </w:r>
    </w:p>
    <w:p w:rsidR="000E4C80" w:rsidRDefault="000E4C80" w:rsidP="003E6D55">
      <w:pPr>
        <w:spacing w:after="0" w:line="321" w:lineRule="auto"/>
        <w:rPr>
          <w:b/>
          <w:u w:val="single"/>
        </w:rPr>
      </w:pPr>
    </w:p>
    <w:p w:rsidR="000E4C80" w:rsidRDefault="008D6835">
      <w:pPr>
        <w:rPr>
          <w:b/>
          <w:u w:val="single"/>
        </w:rPr>
      </w:pPr>
      <w:r w:rsidRPr="008D6835">
        <w:rPr>
          <w:noProof/>
          <w:lang w:eastAsia="en-GB"/>
        </w:rPr>
        <w:drawing>
          <wp:inline distT="0" distB="0" distL="0" distR="0" wp14:anchorId="1478FA92" wp14:editId="003164F2">
            <wp:extent cx="5731510" cy="6144269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C8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F1" w:rsidRDefault="005013F1" w:rsidP="005013F1">
      <w:pPr>
        <w:spacing w:after="0" w:line="240" w:lineRule="auto"/>
      </w:pPr>
      <w:r>
        <w:separator/>
      </w:r>
    </w:p>
  </w:endnote>
  <w:endnote w:type="continuationSeparator" w:id="0">
    <w:p w:rsidR="005013F1" w:rsidRDefault="005013F1" w:rsidP="0050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866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13F1" w:rsidRDefault="005013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1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1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13F1" w:rsidRDefault="0050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F1" w:rsidRDefault="005013F1" w:rsidP="005013F1">
      <w:pPr>
        <w:spacing w:after="0" w:line="240" w:lineRule="auto"/>
      </w:pPr>
      <w:r>
        <w:separator/>
      </w:r>
    </w:p>
  </w:footnote>
  <w:footnote w:type="continuationSeparator" w:id="0">
    <w:p w:rsidR="005013F1" w:rsidRDefault="005013F1" w:rsidP="0050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8E" w:rsidRDefault="00C5318E">
    <w:pPr>
      <w:pStyle w:val="Header"/>
    </w:pPr>
    <w:r>
      <w:t>Paper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F33"/>
    <w:multiLevelType w:val="hybridMultilevel"/>
    <w:tmpl w:val="504CD9F2"/>
    <w:lvl w:ilvl="0" w:tplc="3412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7A0F"/>
    <w:multiLevelType w:val="hybridMultilevel"/>
    <w:tmpl w:val="E626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5983"/>
    <w:multiLevelType w:val="hybridMultilevel"/>
    <w:tmpl w:val="7064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33E72"/>
    <w:multiLevelType w:val="hybridMultilevel"/>
    <w:tmpl w:val="C4AC99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F4FC0"/>
    <w:multiLevelType w:val="hybridMultilevel"/>
    <w:tmpl w:val="735C22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0896369"/>
    <w:multiLevelType w:val="hybridMultilevel"/>
    <w:tmpl w:val="FCBE9E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177D9"/>
    <w:multiLevelType w:val="hybridMultilevel"/>
    <w:tmpl w:val="D820BF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E7843BB"/>
    <w:multiLevelType w:val="hybridMultilevel"/>
    <w:tmpl w:val="FD48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E2C28"/>
    <w:multiLevelType w:val="hybridMultilevel"/>
    <w:tmpl w:val="7578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654A7"/>
    <w:multiLevelType w:val="hybridMultilevel"/>
    <w:tmpl w:val="ADE84B4E"/>
    <w:lvl w:ilvl="0" w:tplc="3D44E3D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CD832C0"/>
    <w:multiLevelType w:val="hybridMultilevel"/>
    <w:tmpl w:val="75A6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2"/>
    <w:rsid w:val="00015B91"/>
    <w:rsid w:val="000707F4"/>
    <w:rsid w:val="000E4C80"/>
    <w:rsid w:val="000E5819"/>
    <w:rsid w:val="00176D52"/>
    <w:rsid w:val="001F3F2B"/>
    <w:rsid w:val="002223CF"/>
    <w:rsid w:val="002407CC"/>
    <w:rsid w:val="00260B24"/>
    <w:rsid w:val="002E0BAD"/>
    <w:rsid w:val="003219FE"/>
    <w:rsid w:val="0032671F"/>
    <w:rsid w:val="00341D87"/>
    <w:rsid w:val="00375A03"/>
    <w:rsid w:val="00390261"/>
    <w:rsid w:val="003A6DE0"/>
    <w:rsid w:val="003E6D55"/>
    <w:rsid w:val="005013F1"/>
    <w:rsid w:val="00523710"/>
    <w:rsid w:val="00612112"/>
    <w:rsid w:val="00613DE8"/>
    <w:rsid w:val="0066793D"/>
    <w:rsid w:val="00761D01"/>
    <w:rsid w:val="007F6CC7"/>
    <w:rsid w:val="00836E93"/>
    <w:rsid w:val="00847A06"/>
    <w:rsid w:val="008B287F"/>
    <w:rsid w:val="008D6835"/>
    <w:rsid w:val="0093315F"/>
    <w:rsid w:val="009352DE"/>
    <w:rsid w:val="00991B28"/>
    <w:rsid w:val="009B2BDC"/>
    <w:rsid w:val="009C2BDD"/>
    <w:rsid w:val="00A007BB"/>
    <w:rsid w:val="00A145CA"/>
    <w:rsid w:val="00A23D57"/>
    <w:rsid w:val="00A951D4"/>
    <w:rsid w:val="00B03B34"/>
    <w:rsid w:val="00BC0E25"/>
    <w:rsid w:val="00C1004E"/>
    <w:rsid w:val="00C4125D"/>
    <w:rsid w:val="00C52B7A"/>
    <w:rsid w:val="00C5318E"/>
    <w:rsid w:val="00CB78D2"/>
    <w:rsid w:val="00CC305E"/>
    <w:rsid w:val="00CE48EB"/>
    <w:rsid w:val="00CE4A9E"/>
    <w:rsid w:val="00CF50B8"/>
    <w:rsid w:val="00D064E8"/>
    <w:rsid w:val="00D149DD"/>
    <w:rsid w:val="00D409A1"/>
    <w:rsid w:val="00DA611D"/>
    <w:rsid w:val="00E075CD"/>
    <w:rsid w:val="00E13085"/>
    <w:rsid w:val="00EE7694"/>
    <w:rsid w:val="00F678C3"/>
    <w:rsid w:val="00F949ED"/>
    <w:rsid w:val="00FA3A51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A0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F1"/>
  </w:style>
  <w:style w:type="paragraph" w:styleId="Footer">
    <w:name w:val="footer"/>
    <w:basedOn w:val="Normal"/>
    <w:link w:val="FooterChar"/>
    <w:uiPriority w:val="99"/>
    <w:unhideWhenUsed/>
    <w:rsid w:val="005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5A0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F1"/>
  </w:style>
  <w:style w:type="paragraph" w:styleId="Footer">
    <w:name w:val="footer"/>
    <w:basedOn w:val="Normal"/>
    <w:link w:val="FooterChar"/>
    <w:uiPriority w:val="99"/>
    <w:unhideWhenUsed/>
    <w:rsid w:val="0050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3</cp:revision>
  <cp:lastPrinted>2017-09-18T07:13:00Z</cp:lastPrinted>
  <dcterms:created xsi:type="dcterms:W3CDTF">2017-09-18T11:39:00Z</dcterms:created>
  <dcterms:modified xsi:type="dcterms:W3CDTF">2017-09-18T11:39:00Z</dcterms:modified>
</cp:coreProperties>
</file>