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30" w:rsidRDefault="00D52630" w:rsidP="00D52630">
      <w:pPr>
        <w:jc w:val="right"/>
      </w:pPr>
      <w:r>
        <w:rPr>
          <w:noProof/>
          <w:lang w:eastAsia="en-GB"/>
        </w:rPr>
        <w:drawing>
          <wp:inline distT="0" distB="0" distL="0" distR="0" wp14:anchorId="2CF675B3" wp14:editId="060E2D59">
            <wp:extent cx="663711" cy="600075"/>
            <wp:effectExtent l="0" t="0" r="317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758" cy="603734"/>
                    </a:xfrm>
                    <a:prstGeom prst="rect">
                      <a:avLst/>
                    </a:prstGeom>
                    <a:noFill/>
                  </pic:spPr>
                </pic:pic>
              </a:graphicData>
            </a:graphic>
          </wp:inline>
        </w:drawing>
      </w:r>
    </w:p>
    <w:p w:rsidR="001C1676" w:rsidRDefault="00D52630" w:rsidP="008730BD">
      <w:pPr>
        <w:spacing w:line="240" w:lineRule="auto"/>
        <w:jc w:val="center"/>
        <w:rPr>
          <w:b/>
          <w:sz w:val="24"/>
          <w:szCs w:val="24"/>
          <w:u w:val="single"/>
        </w:rPr>
      </w:pPr>
      <w:r w:rsidRPr="00B240FE">
        <w:rPr>
          <w:b/>
          <w:sz w:val="24"/>
          <w:szCs w:val="24"/>
          <w:u w:val="single"/>
        </w:rPr>
        <w:t xml:space="preserve">GP SIP 2017/18 - </w:t>
      </w:r>
      <w:r w:rsidR="00753F85">
        <w:rPr>
          <w:b/>
          <w:sz w:val="24"/>
          <w:szCs w:val="24"/>
          <w:u w:val="single"/>
        </w:rPr>
        <w:t>Demand Management Implementation</w:t>
      </w:r>
      <w:r w:rsidR="00AC3FD7">
        <w:rPr>
          <w:b/>
          <w:sz w:val="24"/>
          <w:szCs w:val="24"/>
          <w:u w:val="single"/>
        </w:rPr>
        <w:t xml:space="preserve"> Plan</w:t>
      </w:r>
    </w:p>
    <w:p w:rsidR="0018270E" w:rsidRPr="00F33255" w:rsidRDefault="00D34E49" w:rsidP="008730BD">
      <w:pPr>
        <w:pStyle w:val="ListParagraph"/>
        <w:numPr>
          <w:ilvl w:val="0"/>
          <w:numId w:val="5"/>
        </w:numPr>
        <w:autoSpaceDE w:val="0"/>
        <w:autoSpaceDN w:val="0"/>
        <w:adjustRightInd w:val="0"/>
        <w:spacing w:after="0" w:line="240" w:lineRule="auto"/>
        <w:rPr>
          <w:rFonts w:cs="Arial"/>
          <w:b/>
          <w:bCs/>
          <w:u w:val="single"/>
        </w:rPr>
      </w:pPr>
      <w:r>
        <w:rPr>
          <w:rFonts w:cs="Arial"/>
          <w:b/>
          <w:bCs/>
          <w:u w:val="single"/>
        </w:rPr>
        <w:t>I</w:t>
      </w:r>
      <w:r w:rsidR="0018270E" w:rsidRPr="00F33255">
        <w:rPr>
          <w:rFonts w:cs="Arial"/>
          <w:b/>
          <w:bCs/>
          <w:u w:val="single"/>
        </w:rPr>
        <w:t>ntroduction</w:t>
      </w:r>
    </w:p>
    <w:p w:rsidR="0018270E" w:rsidRDefault="0018270E" w:rsidP="008730BD">
      <w:pPr>
        <w:autoSpaceDE w:val="0"/>
        <w:autoSpaceDN w:val="0"/>
        <w:adjustRightInd w:val="0"/>
        <w:spacing w:after="0" w:line="240" w:lineRule="auto"/>
        <w:rPr>
          <w:rFonts w:cs="Arial"/>
          <w:b/>
          <w:bCs/>
        </w:rPr>
      </w:pPr>
    </w:p>
    <w:p w:rsidR="00AC3FD7" w:rsidRPr="00F42336" w:rsidRDefault="00AC3FD7" w:rsidP="008730BD">
      <w:pPr>
        <w:spacing w:after="0" w:line="240" w:lineRule="auto"/>
        <w:rPr>
          <w:rFonts w:eastAsia="Times New Roman" w:cs="Times New Roman"/>
          <w:i/>
        </w:rPr>
      </w:pPr>
      <w:r w:rsidRPr="00F42336">
        <w:rPr>
          <w:rFonts w:eastAsia="Times New Roman" w:cs="Times New Roman"/>
          <w:i/>
        </w:rPr>
        <w:t xml:space="preserve">‘Performance measures should promote change and help to check the performance of an organisation’s key performance drivers and indicate where remedial action or further investigation is necessary.’ </w:t>
      </w:r>
    </w:p>
    <w:p w:rsidR="003E28D3" w:rsidRDefault="003E28D3" w:rsidP="008730BD">
      <w:pPr>
        <w:autoSpaceDE w:val="0"/>
        <w:autoSpaceDN w:val="0"/>
        <w:adjustRightInd w:val="0"/>
        <w:spacing w:after="0" w:line="240" w:lineRule="auto"/>
        <w:rPr>
          <w:rFonts w:cs="Arial"/>
          <w:bCs/>
        </w:rPr>
      </w:pPr>
    </w:p>
    <w:p w:rsidR="003E28D3" w:rsidRDefault="003E28D3" w:rsidP="008730BD">
      <w:pPr>
        <w:autoSpaceDE w:val="0"/>
        <w:autoSpaceDN w:val="0"/>
        <w:adjustRightInd w:val="0"/>
        <w:spacing w:after="0" w:line="240" w:lineRule="auto"/>
        <w:rPr>
          <w:rFonts w:cs="Arial"/>
          <w:bCs/>
        </w:rPr>
      </w:pPr>
      <w:r w:rsidRPr="0018270E">
        <w:rPr>
          <w:rFonts w:cs="Arial"/>
          <w:bCs/>
        </w:rPr>
        <w:t xml:space="preserve">This paper outlines </w:t>
      </w:r>
      <w:r>
        <w:rPr>
          <w:rFonts w:cs="Arial"/>
          <w:bCs/>
        </w:rPr>
        <w:t>how ELR GP Federation will work with its m</w:t>
      </w:r>
      <w:bookmarkStart w:id="0" w:name="_GoBack"/>
      <w:bookmarkEnd w:id="0"/>
      <w:r>
        <w:rPr>
          <w:rFonts w:cs="Arial"/>
          <w:bCs/>
        </w:rPr>
        <w:t xml:space="preserve">ember practices to support the </w:t>
      </w:r>
      <w:r w:rsidRPr="00646FD8">
        <w:rPr>
          <w:rFonts w:cs="Arial"/>
          <w:bCs/>
          <w:u w:val="single"/>
        </w:rPr>
        <w:t>Demand Management</w:t>
      </w:r>
      <w:r>
        <w:rPr>
          <w:rFonts w:cs="Arial"/>
          <w:bCs/>
        </w:rPr>
        <w:t xml:space="preserve"> stream of the GP SIP; dovetailing with the CCG plan </w:t>
      </w:r>
      <w:r w:rsidR="00F6660B">
        <w:rPr>
          <w:rFonts w:cs="Arial"/>
          <w:bCs/>
        </w:rPr>
        <w:t xml:space="preserve">(key elements below) </w:t>
      </w:r>
      <w:r>
        <w:rPr>
          <w:rFonts w:cs="Arial"/>
          <w:bCs/>
        </w:rPr>
        <w:t>to maximise the opportunity to improve practice.</w:t>
      </w:r>
    </w:p>
    <w:p w:rsidR="00B21810" w:rsidRDefault="00B21810" w:rsidP="008730BD">
      <w:pPr>
        <w:autoSpaceDE w:val="0"/>
        <w:autoSpaceDN w:val="0"/>
        <w:adjustRightInd w:val="0"/>
        <w:spacing w:after="0" w:line="240" w:lineRule="auto"/>
        <w:rPr>
          <w:rFonts w:cs="Arial"/>
          <w:bCs/>
        </w:rPr>
      </w:pPr>
    </w:p>
    <w:p w:rsidR="00B21810" w:rsidRPr="00B21810" w:rsidRDefault="00B21810" w:rsidP="008730BD">
      <w:pPr>
        <w:pStyle w:val="ListParagraph"/>
        <w:spacing w:after="0" w:line="240" w:lineRule="auto"/>
        <w:rPr>
          <w:b/>
        </w:rPr>
      </w:pPr>
      <w:r w:rsidRPr="00B21810">
        <w:rPr>
          <w:rFonts w:cs="Arial"/>
          <w:b/>
          <w:bCs/>
        </w:rPr>
        <w:t>CCG Demand management plan</w:t>
      </w:r>
    </w:p>
    <w:p w:rsidR="00B21810" w:rsidRDefault="00B21810" w:rsidP="008730BD">
      <w:pPr>
        <w:pStyle w:val="ListParagraph"/>
        <w:numPr>
          <w:ilvl w:val="0"/>
          <w:numId w:val="16"/>
        </w:numPr>
        <w:spacing w:after="0" w:line="240" w:lineRule="auto"/>
      </w:pPr>
      <w:r w:rsidRPr="00094FE3">
        <w:rPr>
          <w:rFonts w:cs="Arial"/>
          <w:bCs/>
        </w:rPr>
        <w:t>GPSIP activity plan</w:t>
      </w:r>
    </w:p>
    <w:p w:rsidR="00B21810" w:rsidRDefault="00B21810" w:rsidP="008730BD">
      <w:pPr>
        <w:pStyle w:val="ListParagraph"/>
        <w:numPr>
          <w:ilvl w:val="0"/>
          <w:numId w:val="16"/>
        </w:numPr>
        <w:spacing w:after="0" w:line="240" w:lineRule="auto"/>
        <w:rPr>
          <w:rFonts w:cs="Arial"/>
          <w:bCs/>
        </w:rPr>
      </w:pPr>
      <w:r w:rsidRPr="00094FE3">
        <w:rPr>
          <w:rFonts w:cs="Arial"/>
          <w:bCs/>
        </w:rPr>
        <w:t>GPSIP baseline</w:t>
      </w:r>
      <w:r w:rsidRPr="00B21810">
        <w:rPr>
          <w:rFonts w:cs="Arial"/>
          <w:bCs/>
        </w:rPr>
        <w:t xml:space="preserve"> </w:t>
      </w:r>
    </w:p>
    <w:p w:rsidR="00B21810" w:rsidRDefault="00B21810" w:rsidP="008730BD">
      <w:pPr>
        <w:pStyle w:val="ListParagraph"/>
        <w:numPr>
          <w:ilvl w:val="0"/>
          <w:numId w:val="16"/>
        </w:numPr>
        <w:spacing w:after="0" w:line="240" w:lineRule="auto"/>
        <w:rPr>
          <w:rFonts w:cs="Arial"/>
          <w:bCs/>
        </w:rPr>
      </w:pPr>
      <w:r w:rsidRPr="00094FE3">
        <w:rPr>
          <w:rFonts w:cs="Arial"/>
          <w:bCs/>
        </w:rPr>
        <w:t>PRISM improvements</w:t>
      </w:r>
    </w:p>
    <w:p w:rsidR="00B21810" w:rsidRDefault="00B21810" w:rsidP="008730BD">
      <w:pPr>
        <w:pStyle w:val="ListParagraph"/>
        <w:numPr>
          <w:ilvl w:val="0"/>
          <w:numId w:val="16"/>
        </w:numPr>
        <w:spacing w:after="0" w:line="240" w:lineRule="auto"/>
        <w:rPr>
          <w:rFonts w:cs="Arial"/>
          <w:bCs/>
        </w:rPr>
      </w:pPr>
      <w:r w:rsidRPr="00094FE3">
        <w:rPr>
          <w:rFonts w:cs="Arial"/>
          <w:bCs/>
        </w:rPr>
        <w:t>Advice &amp; Guidance improvements</w:t>
      </w:r>
    </w:p>
    <w:p w:rsidR="00B21810" w:rsidRDefault="00B21810" w:rsidP="008730BD">
      <w:pPr>
        <w:pStyle w:val="ListParagraph"/>
        <w:numPr>
          <w:ilvl w:val="0"/>
          <w:numId w:val="16"/>
        </w:numPr>
        <w:spacing w:after="0" w:line="240" w:lineRule="auto"/>
        <w:rPr>
          <w:rFonts w:cs="Arial"/>
          <w:bCs/>
        </w:rPr>
      </w:pPr>
      <w:r w:rsidRPr="00094FE3">
        <w:rPr>
          <w:rFonts w:cs="Arial"/>
          <w:bCs/>
        </w:rPr>
        <w:t>Consultant Connect improvements</w:t>
      </w:r>
    </w:p>
    <w:p w:rsidR="00B21810" w:rsidRDefault="00B21810" w:rsidP="008730BD">
      <w:pPr>
        <w:pStyle w:val="ListParagraph"/>
        <w:numPr>
          <w:ilvl w:val="0"/>
          <w:numId w:val="16"/>
        </w:numPr>
        <w:spacing w:after="0" w:line="240" w:lineRule="auto"/>
        <w:rPr>
          <w:rFonts w:cs="Arial"/>
          <w:bCs/>
        </w:rPr>
      </w:pPr>
      <w:r w:rsidRPr="00094FE3">
        <w:rPr>
          <w:rFonts w:cs="Arial"/>
          <w:bCs/>
        </w:rPr>
        <w:t>Practice Priorities</w:t>
      </w:r>
    </w:p>
    <w:p w:rsidR="00B21810" w:rsidRDefault="00B21810" w:rsidP="008730BD">
      <w:pPr>
        <w:pStyle w:val="ListParagraph"/>
        <w:numPr>
          <w:ilvl w:val="0"/>
          <w:numId w:val="16"/>
        </w:numPr>
        <w:spacing w:after="0" w:line="240" w:lineRule="auto"/>
        <w:rPr>
          <w:rFonts w:cs="Arial"/>
          <w:bCs/>
        </w:rPr>
      </w:pPr>
      <w:r w:rsidRPr="00094FE3">
        <w:rPr>
          <w:rFonts w:cs="Arial"/>
          <w:bCs/>
        </w:rPr>
        <w:t>UHL internal referral management</w:t>
      </w:r>
    </w:p>
    <w:p w:rsidR="00B21810" w:rsidRDefault="00B21810" w:rsidP="008730BD">
      <w:pPr>
        <w:pStyle w:val="ListParagraph"/>
        <w:numPr>
          <w:ilvl w:val="0"/>
          <w:numId w:val="16"/>
        </w:numPr>
        <w:spacing w:after="0" w:line="240" w:lineRule="auto"/>
        <w:rPr>
          <w:rFonts w:cs="Arial"/>
          <w:bCs/>
        </w:rPr>
      </w:pPr>
      <w:r w:rsidRPr="00094FE3">
        <w:rPr>
          <w:rFonts w:cs="Arial"/>
          <w:bCs/>
        </w:rPr>
        <w:t>Diagnostic referrals</w:t>
      </w:r>
    </w:p>
    <w:p w:rsidR="00B21810" w:rsidRDefault="00B21810" w:rsidP="008730BD">
      <w:pPr>
        <w:pStyle w:val="ListParagraph"/>
        <w:numPr>
          <w:ilvl w:val="0"/>
          <w:numId w:val="16"/>
        </w:numPr>
        <w:spacing w:after="0" w:line="240" w:lineRule="auto"/>
      </w:pPr>
      <w:r w:rsidRPr="00094FE3">
        <w:rPr>
          <w:rFonts w:cs="Arial"/>
          <w:bCs/>
        </w:rPr>
        <w:t>New : follow-up ratio</w:t>
      </w:r>
    </w:p>
    <w:p w:rsidR="002E43C0" w:rsidRDefault="002E43C0" w:rsidP="008730BD">
      <w:pPr>
        <w:autoSpaceDE w:val="0"/>
        <w:autoSpaceDN w:val="0"/>
        <w:adjustRightInd w:val="0"/>
        <w:spacing w:after="0" w:line="240" w:lineRule="auto"/>
        <w:rPr>
          <w:rFonts w:cs="Arial"/>
          <w:bCs/>
        </w:rPr>
      </w:pPr>
    </w:p>
    <w:p w:rsidR="0018270E" w:rsidRDefault="00F6660B" w:rsidP="008730BD">
      <w:pPr>
        <w:autoSpaceDE w:val="0"/>
        <w:autoSpaceDN w:val="0"/>
        <w:adjustRightInd w:val="0"/>
        <w:spacing w:after="0" w:line="240" w:lineRule="auto"/>
        <w:rPr>
          <w:rFonts w:cs="Arial"/>
          <w:bCs/>
        </w:rPr>
      </w:pPr>
      <w:r>
        <w:rPr>
          <w:rFonts w:cs="Arial"/>
          <w:bCs/>
        </w:rPr>
        <w:t xml:space="preserve">We </w:t>
      </w:r>
      <w:r w:rsidR="003E28D3">
        <w:rPr>
          <w:rFonts w:cs="Arial"/>
          <w:bCs/>
        </w:rPr>
        <w:t xml:space="preserve">will </w:t>
      </w:r>
      <w:r w:rsidR="00EF0984">
        <w:rPr>
          <w:rFonts w:cs="Arial"/>
          <w:bCs/>
        </w:rPr>
        <w:t xml:space="preserve">establish a data set and systematic </w:t>
      </w:r>
      <w:r w:rsidR="00D50265">
        <w:rPr>
          <w:rFonts w:cs="Arial"/>
          <w:bCs/>
        </w:rPr>
        <w:t>pe</w:t>
      </w:r>
      <w:r w:rsidR="00B240FE">
        <w:rPr>
          <w:rFonts w:cs="Arial"/>
          <w:bCs/>
        </w:rPr>
        <w:t>e</w:t>
      </w:r>
      <w:r w:rsidR="00D50265">
        <w:rPr>
          <w:rFonts w:cs="Arial"/>
          <w:bCs/>
        </w:rPr>
        <w:t xml:space="preserve">r review </w:t>
      </w:r>
      <w:r w:rsidR="00EF0984">
        <w:rPr>
          <w:rFonts w:cs="Arial"/>
          <w:bCs/>
        </w:rPr>
        <w:t xml:space="preserve">process to </w:t>
      </w:r>
      <w:r w:rsidR="00694DBC">
        <w:rPr>
          <w:rFonts w:cs="Arial"/>
          <w:bCs/>
        </w:rPr>
        <w:t xml:space="preserve">review performance in </w:t>
      </w:r>
      <w:r w:rsidR="00EF0984">
        <w:rPr>
          <w:rFonts w:cs="Arial"/>
          <w:bCs/>
        </w:rPr>
        <w:t>a consistent and ongoi</w:t>
      </w:r>
      <w:r w:rsidR="00D50265">
        <w:rPr>
          <w:rFonts w:cs="Arial"/>
          <w:bCs/>
        </w:rPr>
        <w:t>ng way that supports</w:t>
      </w:r>
      <w:r w:rsidR="00694DBC">
        <w:rPr>
          <w:rFonts w:cs="Arial"/>
          <w:bCs/>
        </w:rPr>
        <w:t xml:space="preserve"> </w:t>
      </w:r>
      <w:r w:rsidR="00EF59B5">
        <w:rPr>
          <w:rFonts w:cs="Arial"/>
          <w:bCs/>
        </w:rPr>
        <w:t xml:space="preserve">practices </w:t>
      </w:r>
      <w:r w:rsidR="00D50265">
        <w:rPr>
          <w:rFonts w:cs="Arial"/>
          <w:bCs/>
        </w:rPr>
        <w:t xml:space="preserve">in </w:t>
      </w:r>
      <w:r w:rsidR="00EF59B5">
        <w:rPr>
          <w:rFonts w:cs="Arial"/>
          <w:bCs/>
        </w:rPr>
        <w:t xml:space="preserve">utilising the most appropriate pathways for patients and </w:t>
      </w:r>
      <w:r w:rsidR="00694DBC">
        <w:rPr>
          <w:rFonts w:cs="Arial"/>
          <w:bCs/>
        </w:rPr>
        <w:t xml:space="preserve">a </w:t>
      </w:r>
      <w:r w:rsidR="00EF59B5">
        <w:rPr>
          <w:rFonts w:cs="Arial"/>
          <w:bCs/>
        </w:rPr>
        <w:t>consequent</w:t>
      </w:r>
      <w:r w:rsidR="00D50265">
        <w:rPr>
          <w:rFonts w:cs="Arial"/>
          <w:bCs/>
        </w:rPr>
        <w:t>ly achieving a</w:t>
      </w:r>
      <w:r w:rsidR="00EF59B5">
        <w:rPr>
          <w:rFonts w:cs="Arial"/>
          <w:bCs/>
        </w:rPr>
        <w:t xml:space="preserve"> </w:t>
      </w:r>
      <w:r w:rsidR="00694DBC">
        <w:rPr>
          <w:rFonts w:cs="Arial"/>
          <w:bCs/>
        </w:rPr>
        <w:t xml:space="preserve">tangible </w:t>
      </w:r>
      <w:r>
        <w:rPr>
          <w:rFonts w:cs="Arial"/>
          <w:bCs/>
        </w:rPr>
        <w:t xml:space="preserve">and sustained </w:t>
      </w:r>
      <w:r w:rsidR="00694DBC">
        <w:rPr>
          <w:rFonts w:cs="Arial"/>
          <w:bCs/>
        </w:rPr>
        <w:t>reduction in the demand placed on secondary care services.</w:t>
      </w:r>
    </w:p>
    <w:p w:rsidR="0053025B" w:rsidRDefault="0053025B" w:rsidP="008730BD">
      <w:pPr>
        <w:autoSpaceDE w:val="0"/>
        <w:autoSpaceDN w:val="0"/>
        <w:adjustRightInd w:val="0"/>
        <w:spacing w:after="0" w:line="240" w:lineRule="auto"/>
        <w:rPr>
          <w:rFonts w:cs="Arial"/>
          <w:bCs/>
        </w:rPr>
      </w:pPr>
    </w:p>
    <w:p w:rsidR="0053025B" w:rsidRDefault="0053025B" w:rsidP="008730BD">
      <w:pPr>
        <w:spacing w:after="0" w:line="240" w:lineRule="auto"/>
        <w:rPr>
          <w:rFonts w:eastAsia="Times New Roman" w:cs="Times New Roman"/>
        </w:rPr>
      </w:pPr>
      <w:r>
        <w:rPr>
          <w:rFonts w:eastAsia="Times New Roman" w:cs="Times New Roman"/>
        </w:rPr>
        <w:t xml:space="preserve">Reviewing the information at a locality / Federation level will also enable us </w:t>
      </w:r>
      <w:r w:rsidR="007D22A6">
        <w:rPr>
          <w:rFonts w:eastAsia="Times New Roman" w:cs="Times New Roman"/>
        </w:rPr>
        <w:t xml:space="preserve">to </w:t>
      </w:r>
      <w:r>
        <w:rPr>
          <w:rFonts w:eastAsia="Times New Roman" w:cs="Times New Roman"/>
        </w:rPr>
        <w:t xml:space="preserve">identify areas </w:t>
      </w:r>
      <w:r w:rsidR="007D22A6">
        <w:rPr>
          <w:rFonts w:eastAsia="Times New Roman" w:cs="Times New Roman"/>
        </w:rPr>
        <w:t xml:space="preserve">where new ways of </w:t>
      </w:r>
      <w:r>
        <w:rPr>
          <w:rFonts w:eastAsia="Times New Roman" w:cs="Times New Roman"/>
        </w:rPr>
        <w:t>work</w:t>
      </w:r>
      <w:r w:rsidR="007D22A6">
        <w:rPr>
          <w:rFonts w:eastAsia="Times New Roman" w:cs="Times New Roman"/>
        </w:rPr>
        <w:t>ing</w:t>
      </w:r>
      <w:r>
        <w:rPr>
          <w:rFonts w:eastAsia="Times New Roman" w:cs="Times New Roman"/>
        </w:rPr>
        <w:t xml:space="preserve"> and</w:t>
      </w:r>
      <w:r w:rsidR="007D22A6">
        <w:rPr>
          <w:rFonts w:eastAsia="Times New Roman" w:cs="Times New Roman"/>
        </w:rPr>
        <w:t>/or</w:t>
      </w:r>
      <w:r>
        <w:rPr>
          <w:rFonts w:eastAsia="Times New Roman" w:cs="Times New Roman"/>
        </w:rPr>
        <w:t xml:space="preserve"> develop</w:t>
      </w:r>
      <w:r w:rsidR="007D22A6">
        <w:rPr>
          <w:rFonts w:eastAsia="Times New Roman" w:cs="Times New Roman"/>
        </w:rPr>
        <w:t>ing</w:t>
      </w:r>
      <w:r>
        <w:rPr>
          <w:rFonts w:eastAsia="Times New Roman" w:cs="Times New Roman"/>
        </w:rPr>
        <w:t xml:space="preserve"> local services and commissioning</w:t>
      </w:r>
      <w:r w:rsidR="007D22A6">
        <w:rPr>
          <w:rFonts w:eastAsia="Times New Roman" w:cs="Times New Roman"/>
        </w:rPr>
        <w:t xml:space="preserve"> arrangements could improve both performance and patient experience</w:t>
      </w:r>
      <w:r>
        <w:rPr>
          <w:rFonts w:eastAsia="Times New Roman" w:cs="Times New Roman"/>
        </w:rPr>
        <w:t xml:space="preserve">.  </w:t>
      </w:r>
      <w:r w:rsidR="007D22A6">
        <w:rPr>
          <w:rFonts w:eastAsia="Times New Roman" w:cs="Times New Roman"/>
        </w:rPr>
        <w:t>This could include developing</w:t>
      </w:r>
      <w:r w:rsidR="008730BD">
        <w:rPr>
          <w:rFonts w:eastAsia="Times New Roman" w:cs="Times New Roman"/>
        </w:rPr>
        <w:t xml:space="preserve"> hub</w:t>
      </w:r>
      <w:r>
        <w:rPr>
          <w:rFonts w:eastAsia="Times New Roman" w:cs="Times New Roman"/>
        </w:rPr>
        <w:t xml:space="preserve"> </w:t>
      </w:r>
      <w:r w:rsidR="007D22A6">
        <w:rPr>
          <w:rFonts w:eastAsia="Times New Roman" w:cs="Times New Roman"/>
        </w:rPr>
        <w:t xml:space="preserve">working </w:t>
      </w:r>
      <w:r w:rsidR="008730BD">
        <w:rPr>
          <w:rFonts w:eastAsia="Times New Roman" w:cs="Times New Roman"/>
        </w:rPr>
        <w:t>and/or inter-practice referral</w:t>
      </w:r>
      <w:r w:rsidR="007D22A6">
        <w:rPr>
          <w:rFonts w:eastAsia="Times New Roman" w:cs="Times New Roman"/>
        </w:rPr>
        <w:t>s</w:t>
      </w:r>
      <w:r w:rsidR="008730BD">
        <w:rPr>
          <w:rFonts w:eastAsia="Times New Roman" w:cs="Times New Roman"/>
        </w:rPr>
        <w:t xml:space="preserve"> </w:t>
      </w:r>
      <w:r>
        <w:rPr>
          <w:rFonts w:eastAsia="Times New Roman" w:cs="Times New Roman"/>
        </w:rPr>
        <w:t xml:space="preserve">for </w:t>
      </w:r>
      <w:r w:rsidR="00B0569A">
        <w:rPr>
          <w:rFonts w:eastAsia="Times New Roman" w:cs="Times New Roman"/>
        </w:rPr>
        <w:t>identified</w:t>
      </w:r>
      <w:r>
        <w:rPr>
          <w:rFonts w:eastAsia="Times New Roman" w:cs="Times New Roman"/>
        </w:rPr>
        <w:t xml:space="preserve"> </w:t>
      </w:r>
      <w:r w:rsidR="008730BD">
        <w:rPr>
          <w:rFonts w:eastAsia="Times New Roman" w:cs="Times New Roman"/>
        </w:rPr>
        <w:t xml:space="preserve">patient groups </w:t>
      </w:r>
      <w:r>
        <w:rPr>
          <w:rFonts w:eastAsia="Times New Roman" w:cs="Times New Roman"/>
        </w:rPr>
        <w:t>/ procedures to reduce the need for referral into hospital</w:t>
      </w:r>
      <w:r w:rsidR="008730BD">
        <w:rPr>
          <w:rFonts w:eastAsia="Times New Roman" w:cs="Times New Roman"/>
        </w:rPr>
        <w:t xml:space="preserve">. </w:t>
      </w:r>
      <w:r w:rsidR="00B0569A">
        <w:rPr>
          <w:rFonts w:eastAsia="Times New Roman" w:cs="Times New Roman"/>
        </w:rPr>
        <w:t xml:space="preserve"> </w:t>
      </w:r>
      <w:r w:rsidR="007D22A6">
        <w:rPr>
          <w:rFonts w:eastAsia="Times New Roman" w:cs="Times New Roman"/>
        </w:rPr>
        <w:t xml:space="preserve">For example, </w:t>
      </w:r>
      <w:r w:rsidR="00B0569A">
        <w:rPr>
          <w:rFonts w:eastAsia="Times New Roman" w:cs="Times New Roman"/>
        </w:rPr>
        <w:t xml:space="preserve">NW </w:t>
      </w:r>
      <w:proofErr w:type="spellStart"/>
      <w:r w:rsidR="00B0569A">
        <w:rPr>
          <w:rFonts w:eastAsia="Times New Roman" w:cs="Times New Roman"/>
        </w:rPr>
        <w:t>Leics</w:t>
      </w:r>
      <w:proofErr w:type="spellEnd"/>
      <w:r w:rsidR="00B0569A">
        <w:rPr>
          <w:rFonts w:eastAsia="Times New Roman" w:cs="Times New Roman"/>
        </w:rPr>
        <w:t xml:space="preserve"> Federation did </w:t>
      </w:r>
      <w:r w:rsidR="008730BD">
        <w:rPr>
          <w:rFonts w:eastAsia="Times New Roman" w:cs="Times New Roman"/>
        </w:rPr>
        <w:t xml:space="preserve">this </w:t>
      </w:r>
      <w:r w:rsidR="00B0569A">
        <w:rPr>
          <w:rFonts w:eastAsia="Times New Roman" w:cs="Times New Roman"/>
        </w:rPr>
        <w:t xml:space="preserve">when they introduced inter-practice referrals for joint injections to reduce MSK referrals.  </w:t>
      </w:r>
    </w:p>
    <w:p w:rsidR="00B0569A" w:rsidRDefault="00B0569A" w:rsidP="008730BD">
      <w:pPr>
        <w:spacing w:after="0" w:line="240" w:lineRule="auto"/>
        <w:rPr>
          <w:rFonts w:eastAsia="Times New Roman" w:cs="Times New Roman"/>
        </w:rPr>
      </w:pPr>
    </w:p>
    <w:p w:rsidR="0080284F" w:rsidRPr="0080284F" w:rsidRDefault="0080284F" w:rsidP="008730BD">
      <w:pPr>
        <w:spacing w:after="0" w:line="240" w:lineRule="auto"/>
        <w:rPr>
          <w:rFonts w:eastAsia="Times New Roman" w:cs="Times New Roman"/>
        </w:rPr>
      </w:pPr>
      <w:r w:rsidRPr="0080284F">
        <w:rPr>
          <w:rFonts w:eastAsia="Times New Roman" w:cs="Times New Roman"/>
        </w:rPr>
        <w:t xml:space="preserve">This process will be overseen by </w:t>
      </w:r>
      <w:r w:rsidRPr="00C942EB">
        <w:rPr>
          <w:rFonts w:eastAsia="Times New Roman" w:cs="Times New Roman"/>
          <w:b/>
          <w:u w:val="single"/>
        </w:rPr>
        <w:t xml:space="preserve">Dr </w:t>
      </w:r>
      <w:proofErr w:type="spellStart"/>
      <w:r w:rsidRPr="00C942EB">
        <w:rPr>
          <w:rFonts w:eastAsia="Times New Roman" w:cs="Times New Roman"/>
          <w:b/>
          <w:u w:val="single"/>
        </w:rPr>
        <w:t>Rysz</w:t>
      </w:r>
      <w:proofErr w:type="spellEnd"/>
      <w:r w:rsidRPr="00C942EB">
        <w:rPr>
          <w:rFonts w:eastAsia="Times New Roman" w:cs="Times New Roman"/>
          <w:b/>
          <w:u w:val="single"/>
        </w:rPr>
        <w:t xml:space="preserve"> Bietzk</w:t>
      </w:r>
      <w:r>
        <w:rPr>
          <w:rFonts w:eastAsia="Times New Roman" w:cs="Times New Roman"/>
        </w:rPr>
        <w:t xml:space="preserve"> and will be supported by James Watkins.</w:t>
      </w:r>
      <w:r w:rsidR="00E845F8">
        <w:rPr>
          <w:rFonts w:eastAsia="Times New Roman" w:cs="Times New Roman"/>
        </w:rPr>
        <w:t xml:space="preserve">  We will collaborate with Dr Hilary Fox and Michelle Christie-Smith at the CCG to ensure a coordinated approach.</w:t>
      </w:r>
    </w:p>
    <w:p w:rsidR="00AC3FD7" w:rsidRDefault="00AC3FD7" w:rsidP="008730BD">
      <w:pPr>
        <w:spacing w:after="0" w:line="240" w:lineRule="auto"/>
        <w:rPr>
          <w:rFonts w:eastAsia="Times New Roman" w:cs="Times New Roman"/>
        </w:rPr>
      </w:pPr>
    </w:p>
    <w:p w:rsidR="00D34E49" w:rsidRDefault="00F6660B" w:rsidP="008730BD">
      <w:pPr>
        <w:spacing w:line="240" w:lineRule="auto"/>
      </w:pPr>
      <w:r>
        <w:t>B</w:t>
      </w:r>
      <w:r w:rsidR="00D34E49">
        <w:t>y</w:t>
      </w:r>
      <w:r w:rsidR="00AC3FD7">
        <w:t xml:space="preserve"> focussing attention on </w:t>
      </w:r>
      <w:r w:rsidR="00D34E49">
        <w:t xml:space="preserve">a range of key </w:t>
      </w:r>
      <w:r w:rsidR="00AC3FD7">
        <w:t>indicators</w:t>
      </w:r>
      <w:r w:rsidR="00D34E49">
        <w:t>, we will;</w:t>
      </w:r>
    </w:p>
    <w:p w:rsidR="00AC3FD7" w:rsidRDefault="00D34E49" w:rsidP="008730BD">
      <w:pPr>
        <w:pStyle w:val="ListParagraph"/>
        <w:numPr>
          <w:ilvl w:val="0"/>
          <w:numId w:val="13"/>
        </w:numPr>
        <w:spacing w:line="240" w:lineRule="auto"/>
      </w:pPr>
      <w:r>
        <w:t>S</w:t>
      </w:r>
      <w:r w:rsidR="00AC3FD7">
        <w:t>timulate utilisation of the best pathway option for patients and consequently reduce the number of inappropriate referrals, A&amp;E attendances and emergency admissions.</w:t>
      </w:r>
      <w:r>
        <w:t xml:space="preserve">  </w:t>
      </w:r>
    </w:p>
    <w:p w:rsidR="00AC3FD7" w:rsidRPr="0008263A" w:rsidRDefault="00AC3FD7" w:rsidP="008730BD">
      <w:pPr>
        <w:pStyle w:val="ListParagraph"/>
        <w:numPr>
          <w:ilvl w:val="0"/>
          <w:numId w:val="10"/>
        </w:numPr>
        <w:spacing w:after="0" w:line="240" w:lineRule="auto"/>
      </w:pPr>
      <w:r>
        <w:rPr>
          <w:rFonts w:eastAsia="Times New Roman" w:cs="Times New Roman"/>
        </w:rPr>
        <w:t>Promote GP led, integrated team working between primary care providers towards improvements in health outcomes.</w:t>
      </w:r>
    </w:p>
    <w:p w:rsidR="00AC3FD7" w:rsidRPr="0089103E" w:rsidRDefault="00D34E49" w:rsidP="008730BD">
      <w:pPr>
        <w:pStyle w:val="ListParagraph"/>
        <w:numPr>
          <w:ilvl w:val="0"/>
          <w:numId w:val="10"/>
        </w:numPr>
        <w:spacing w:after="0" w:line="240" w:lineRule="auto"/>
      </w:pPr>
      <w:r>
        <w:rPr>
          <w:rFonts w:eastAsia="Times New Roman" w:cs="Times New Roman"/>
        </w:rPr>
        <w:t>Drive i</w:t>
      </w:r>
      <w:r w:rsidR="00AC3FD7">
        <w:rPr>
          <w:rFonts w:eastAsia="Times New Roman" w:cs="Times New Roman"/>
        </w:rPr>
        <w:t>nnovation and identify areas for further investigation and/or joint working.</w:t>
      </w:r>
    </w:p>
    <w:p w:rsidR="00D34E49" w:rsidRDefault="00D34E49" w:rsidP="008730BD">
      <w:pPr>
        <w:pStyle w:val="ListParagraph"/>
        <w:numPr>
          <w:ilvl w:val="0"/>
          <w:numId w:val="10"/>
        </w:numPr>
        <w:spacing w:after="0" w:line="240" w:lineRule="auto"/>
      </w:pPr>
      <w:r>
        <w:t>Facilitate t</w:t>
      </w:r>
      <w:r w:rsidR="00AC3FD7">
        <w:t xml:space="preserve">rue federated working that brings positive debate and challenge between practices and </w:t>
      </w:r>
      <w:r>
        <w:t xml:space="preserve">the </w:t>
      </w:r>
      <w:r w:rsidR="00AC3FD7">
        <w:t>sharing of solutions, skills and best practice to enhance services for patients in ELR.</w:t>
      </w:r>
      <w:r>
        <w:br w:type="page"/>
      </w:r>
    </w:p>
    <w:p w:rsidR="00AC3FD7" w:rsidRPr="00D34E49" w:rsidRDefault="00D34E49" w:rsidP="00D34E49">
      <w:pPr>
        <w:pStyle w:val="ListParagraph"/>
        <w:numPr>
          <w:ilvl w:val="0"/>
          <w:numId w:val="5"/>
        </w:numPr>
        <w:autoSpaceDE w:val="0"/>
        <w:autoSpaceDN w:val="0"/>
        <w:adjustRightInd w:val="0"/>
        <w:spacing w:after="0" w:line="240" w:lineRule="auto"/>
        <w:rPr>
          <w:rFonts w:cs="Arial"/>
          <w:b/>
          <w:bCs/>
        </w:rPr>
      </w:pPr>
      <w:r>
        <w:rPr>
          <w:rFonts w:cs="Arial"/>
          <w:b/>
          <w:bCs/>
        </w:rPr>
        <w:lastRenderedPageBreak/>
        <w:t>Action Pan</w:t>
      </w:r>
    </w:p>
    <w:p w:rsidR="00AC3FD7" w:rsidRDefault="00AC3FD7" w:rsidP="0018270E">
      <w:pPr>
        <w:autoSpaceDE w:val="0"/>
        <w:autoSpaceDN w:val="0"/>
        <w:adjustRightInd w:val="0"/>
        <w:spacing w:after="0" w:line="240" w:lineRule="auto"/>
        <w:rPr>
          <w:rFonts w:cs="Arial"/>
          <w:b/>
          <w:bCs/>
        </w:rPr>
      </w:pPr>
    </w:p>
    <w:tbl>
      <w:tblPr>
        <w:tblStyle w:val="TableGrid"/>
        <w:tblW w:w="0" w:type="auto"/>
        <w:tblLook w:val="04A0" w:firstRow="1" w:lastRow="0" w:firstColumn="1" w:lastColumn="0" w:noHBand="0" w:noVBand="1"/>
      </w:tblPr>
      <w:tblGrid>
        <w:gridCol w:w="534"/>
        <w:gridCol w:w="6521"/>
        <w:gridCol w:w="1043"/>
        <w:gridCol w:w="992"/>
      </w:tblGrid>
      <w:tr w:rsidR="00D34E49" w:rsidRPr="00094FE3" w:rsidTr="00D34E49">
        <w:tc>
          <w:tcPr>
            <w:tcW w:w="534" w:type="dxa"/>
          </w:tcPr>
          <w:p w:rsidR="00D34E49" w:rsidRPr="00D34E49" w:rsidRDefault="00D34E49" w:rsidP="00D34E49">
            <w:pPr>
              <w:autoSpaceDE w:val="0"/>
              <w:autoSpaceDN w:val="0"/>
              <w:adjustRightInd w:val="0"/>
              <w:rPr>
                <w:rFonts w:cs="Arial"/>
                <w:b/>
                <w:bCs/>
              </w:rPr>
            </w:pPr>
            <w:r>
              <w:rPr>
                <w:rFonts w:cs="Arial"/>
                <w:b/>
                <w:bCs/>
              </w:rPr>
              <w:t>Id</w:t>
            </w:r>
          </w:p>
        </w:tc>
        <w:tc>
          <w:tcPr>
            <w:tcW w:w="6521" w:type="dxa"/>
          </w:tcPr>
          <w:p w:rsidR="00D34E49" w:rsidRPr="00094FE3" w:rsidRDefault="00D34E49" w:rsidP="001C1676">
            <w:pPr>
              <w:autoSpaceDE w:val="0"/>
              <w:autoSpaceDN w:val="0"/>
              <w:adjustRightInd w:val="0"/>
              <w:rPr>
                <w:rFonts w:cs="Arial"/>
                <w:b/>
                <w:bCs/>
              </w:rPr>
            </w:pPr>
            <w:r>
              <w:rPr>
                <w:rFonts w:cs="Arial"/>
                <w:b/>
                <w:bCs/>
              </w:rPr>
              <w:t>Action</w:t>
            </w:r>
          </w:p>
        </w:tc>
        <w:tc>
          <w:tcPr>
            <w:tcW w:w="992" w:type="dxa"/>
          </w:tcPr>
          <w:p w:rsidR="00D34E49" w:rsidRPr="00094FE3" w:rsidRDefault="00D34E49" w:rsidP="001C1676">
            <w:pPr>
              <w:autoSpaceDE w:val="0"/>
              <w:autoSpaceDN w:val="0"/>
              <w:adjustRightInd w:val="0"/>
              <w:rPr>
                <w:rFonts w:cs="Arial"/>
                <w:b/>
                <w:bCs/>
              </w:rPr>
            </w:pPr>
            <w:r>
              <w:rPr>
                <w:rFonts w:cs="Arial"/>
                <w:b/>
                <w:bCs/>
              </w:rPr>
              <w:t xml:space="preserve">Who </w:t>
            </w:r>
          </w:p>
        </w:tc>
        <w:tc>
          <w:tcPr>
            <w:tcW w:w="992" w:type="dxa"/>
          </w:tcPr>
          <w:p w:rsidR="00D34E49" w:rsidRDefault="00D34E49" w:rsidP="001C1676">
            <w:pPr>
              <w:autoSpaceDE w:val="0"/>
              <w:autoSpaceDN w:val="0"/>
              <w:adjustRightInd w:val="0"/>
              <w:rPr>
                <w:rFonts w:cs="Arial"/>
                <w:b/>
                <w:bCs/>
              </w:rPr>
            </w:pPr>
            <w:r>
              <w:rPr>
                <w:rFonts w:cs="Arial"/>
                <w:b/>
                <w:bCs/>
              </w:rPr>
              <w:t>When</w:t>
            </w:r>
          </w:p>
        </w:tc>
      </w:tr>
      <w:tr w:rsidR="00D34E49" w:rsidRPr="00094FE3" w:rsidTr="00D34E49">
        <w:tc>
          <w:tcPr>
            <w:tcW w:w="534" w:type="dxa"/>
          </w:tcPr>
          <w:p w:rsidR="00D34E49" w:rsidRPr="00D34E49" w:rsidRDefault="00D34E49" w:rsidP="00D34E49">
            <w:pPr>
              <w:rPr>
                <w:rFonts w:eastAsia="Times New Roman" w:cs="Times New Roman"/>
              </w:rPr>
            </w:pPr>
            <w:r>
              <w:rPr>
                <w:rFonts w:eastAsia="Times New Roman" w:cs="Times New Roman"/>
              </w:rPr>
              <w:t>1</w:t>
            </w:r>
          </w:p>
        </w:tc>
        <w:tc>
          <w:tcPr>
            <w:tcW w:w="6521" w:type="dxa"/>
          </w:tcPr>
          <w:p w:rsidR="00D34E49" w:rsidRDefault="000873EA" w:rsidP="001C1676">
            <w:pPr>
              <w:pStyle w:val="ListParagraph"/>
              <w:numPr>
                <w:ilvl w:val="0"/>
                <w:numId w:val="12"/>
              </w:numPr>
              <w:rPr>
                <w:rFonts w:eastAsia="Times New Roman" w:cs="Times New Roman"/>
              </w:rPr>
            </w:pPr>
            <w:r>
              <w:rPr>
                <w:rFonts w:eastAsia="Times New Roman" w:cs="Times New Roman"/>
              </w:rPr>
              <w:t>Review</w:t>
            </w:r>
            <w:r w:rsidR="00D34E49">
              <w:rPr>
                <w:rFonts w:eastAsia="Times New Roman" w:cs="Times New Roman"/>
              </w:rPr>
              <w:t xml:space="preserve"> the existing data sets available</w:t>
            </w:r>
          </w:p>
          <w:p w:rsidR="00D34E49" w:rsidRPr="0080284F" w:rsidRDefault="00D34E49" w:rsidP="001C1676">
            <w:pPr>
              <w:rPr>
                <w:rFonts w:eastAsia="Times New Roman" w:cs="Times New Roman"/>
              </w:rPr>
            </w:pPr>
          </w:p>
        </w:tc>
        <w:tc>
          <w:tcPr>
            <w:tcW w:w="992" w:type="dxa"/>
          </w:tcPr>
          <w:p w:rsidR="00D34E49" w:rsidRPr="00094FE3" w:rsidRDefault="0053025B" w:rsidP="001C1676">
            <w:pPr>
              <w:autoSpaceDE w:val="0"/>
              <w:autoSpaceDN w:val="0"/>
              <w:adjustRightInd w:val="0"/>
            </w:pPr>
            <w:r>
              <w:t>RB, JW, MCS</w:t>
            </w:r>
          </w:p>
        </w:tc>
        <w:tc>
          <w:tcPr>
            <w:tcW w:w="992" w:type="dxa"/>
          </w:tcPr>
          <w:p w:rsidR="00D34E49" w:rsidRPr="00094FE3" w:rsidRDefault="00D34E49" w:rsidP="001C1676">
            <w:pPr>
              <w:autoSpaceDE w:val="0"/>
              <w:autoSpaceDN w:val="0"/>
              <w:adjustRightInd w:val="0"/>
            </w:pPr>
            <w:r>
              <w:t>09/17</w:t>
            </w:r>
          </w:p>
        </w:tc>
      </w:tr>
      <w:tr w:rsidR="00D34E49" w:rsidRPr="00094FE3" w:rsidTr="00D34E49">
        <w:tc>
          <w:tcPr>
            <w:tcW w:w="534" w:type="dxa"/>
          </w:tcPr>
          <w:p w:rsidR="00D34E49" w:rsidRPr="00094FE3" w:rsidRDefault="00D34E49" w:rsidP="00D34E49">
            <w:pPr>
              <w:autoSpaceDE w:val="0"/>
              <w:autoSpaceDN w:val="0"/>
              <w:adjustRightInd w:val="0"/>
            </w:pPr>
            <w:r>
              <w:t>2</w:t>
            </w:r>
          </w:p>
        </w:tc>
        <w:tc>
          <w:tcPr>
            <w:tcW w:w="6521" w:type="dxa"/>
          </w:tcPr>
          <w:p w:rsidR="00D34E49" w:rsidRPr="00094FE3" w:rsidRDefault="00D34E49" w:rsidP="000873EA">
            <w:pPr>
              <w:pStyle w:val="ListParagraph"/>
              <w:numPr>
                <w:ilvl w:val="0"/>
                <w:numId w:val="12"/>
              </w:numPr>
              <w:autoSpaceDE w:val="0"/>
              <w:autoSpaceDN w:val="0"/>
              <w:adjustRightInd w:val="0"/>
            </w:pPr>
            <w:r w:rsidRPr="00094FE3">
              <w:t>Practice</w:t>
            </w:r>
            <w:r w:rsidR="000873EA">
              <w:t xml:space="preserve">s complete a </w:t>
            </w:r>
            <w:r w:rsidRPr="00094FE3">
              <w:t>Self-Assessment &amp; Action Plan Template</w:t>
            </w:r>
          </w:p>
        </w:tc>
        <w:tc>
          <w:tcPr>
            <w:tcW w:w="992" w:type="dxa"/>
          </w:tcPr>
          <w:p w:rsidR="00D34E49" w:rsidRPr="00094FE3" w:rsidRDefault="00D34E49" w:rsidP="001C1676">
            <w:pPr>
              <w:autoSpaceDE w:val="0"/>
              <w:autoSpaceDN w:val="0"/>
              <w:adjustRightInd w:val="0"/>
            </w:pPr>
            <w:r>
              <w:t>MCS</w:t>
            </w:r>
          </w:p>
        </w:tc>
        <w:tc>
          <w:tcPr>
            <w:tcW w:w="992" w:type="dxa"/>
          </w:tcPr>
          <w:p w:rsidR="00D34E49" w:rsidRPr="00094FE3" w:rsidRDefault="00D34E49" w:rsidP="001C1676">
            <w:pPr>
              <w:autoSpaceDE w:val="0"/>
              <w:autoSpaceDN w:val="0"/>
              <w:adjustRightInd w:val="0"/>
            </w:pPr>
            <w:r>
              <w:t>09/17</w:t>
            </w:r>
          </w:p>
        </w:tc>
      </w:tr>
      <w:tr w:rsidR="00B21810" w:rsidRPr="00094FE3" w:rsidTr="001C1676">
        <w:tc>
          <w:tcPr>
            <w:tcW w:w="534" w:type="dxa"/>
          </w:tcPr>
          <w:p w:rsidR="00B21810" w:rsidRPr="00D34E49" w:rsidRDefault="004D28E9" w:rsidP="001C1676">
            <w:pPr>
              <w:rPr>
                <w:rFonts w:eastAsia="Times New Roman" w:cs="Times New Roman"/>
              </w:rPr>
            </w:pPr>
            <w:r>
              <w:rPr>
                <w:rFonts w:eastAsia="Times New Roman" w:cs="Times New Roman"/>
              </w:rPr>
              <w:t>3</w:t>
            </w:r>
          </w:p>
        </w:tc>
        <w:tc>
          <w:tcPr>
            <w:tcW w:w="6521" w:type="dxa"/>
          </w:tcPr>
          <w:p w:rsidR="00B21810" w:rsidRDefault="00B21810" w:rsidP="00E845F8">
            <w:pPr>
              <w:pStyle w:val="ListParagraph"/>
              <w:numPr>
                <w:ilvl w:val="0"/>
                <w:numId w:val="12"/>
              </w:numPr>
              <w:rPr>
                <w:rFonts w:eastAsia="Times New Roman" w:cs="Times New Roman"/>
              </w:rPr>
            </w:pPr>
            <w:r>
              <w:rPr>
                <w:rFonts w:eastAsia="Times New Roman" w:cs="Times New Roman"/>
              </w:rPr>
              <w:t>Develop</w:t>
            </w:r>
            <w:r w:rsidRPr="00E65B5D">
              <w:rPr>
                <w:rFonts w:eastAsia="Times New Roman" w:cs="Times New Roman"/>
                <w:snapToGrid w:val="0"/>
                <w:color w:val="000000"/>
              </w:rPr>
              <w:t xml:space="preserve"> valid, accurate, timely and reliable </w:t>
            </w:r>
            <w:r>
              <w:rPr>
                <w:rFonts w:eastAsia="Times New Roman" w:cs="Times New Roman"/>
                <w:snapToGrid w:val="0"/>
                <w:color w:val="000000"/>
              </w:rPr>
              <w:t xml:space="preserve">performance monitoring reports on a </w:t>
            </w:r>
            <w:r>
              <w:rPr>
                <w:rFonts w:eastAsia="Times New Roman" w:cs="Times New Roman"/>
              </w:rPr>
              <w:t xml:space="preserve">consistent and ongoing </w:t>
            </w:r>
            <w:r w:rsidR="000873EA">
              <w:rPr>
                <w:rFonts w:eastAsia="Times New Roman" w:cs="Times New Roman"/>
              </w:rPr>
              <w:t>basis.</w:t>
            </w:r>
          </w:p>
          <w:p w:rsidR="00B21810" w:rsidRDefault="00B21810" w:rsidP="00E845F8">
            <w:pPr>
              <w:pStyle w:val="ListParagraph"/>
              <w:numPr>
                <w:ilvl w:val="0"/>
                <w:numId w:val="12"/>
              </w:numPr>
              <w:rPr>
                <w:rFonts w:eastAsia="Times New Roman" w:cs="Times New Roman"/>
              </w:rPr>
            </w:pPr>
            <w:r>
              <w:rPr>
                <w:rFonts w:eastAsia="Times New Roman" w:cs="Times New Roman"/>
              </w:rPr>
              <w:t>These reports will include the activity assurance areas outlined in the GP SIP criteria;</w:t>
            </w:r>
          </w:p>
          <w:p w:rsidR="00B21810" w:rsidRPr="000F78D6" w:rsidRDefault="00B21810" w:rsidP="00E845F8">
            <w:pPr>
              <w:pStyle w:val="ListParagraph"/>
              <w:numPr>
                <w:ilvl w:val="1"/>
                <w:numId w:val="12"/>
              </w:numPr>
              <w:autoSpaceDE w:val="0"/>
              <w:autoSpaceDN w:val="0"/>
              <w:adjustRightInd w:val="0"/>
              <w:rPr>
                <w:rFonts w:cs="Arial"/>
              </w:rPr>
            </w:pPr>
            <w:r>
              <w:rPr>
                <w:rFonts w:cs="Arial"/>
              </w:rPr>
              <w:t>U</w:t>
            </w:r>
            <w:r w:rsidRPr="00795EC8">
              <w:rPr>
                <w:rFonts w:cs="Arial"/>
              </w:rPr>
              <w:t xml:space="preserve">tilisation of PRISM </w:t>
            </w:r>
          </w:p>
          <w:p w:rsidR="00B21810" w:rsidRDefault="00B21810" w:rsidP="00E845F8">
            <w:pPr>
              <w:pStyle w:val="ListParagraph"/>
              <w:numPr>
                <w:ilvl w:val="1"/>
                <w:numId w:val="12"/>
              </w:numPr>
              <w:autoSpaceDE w:val="0"/>
              <w:autoSpaceDN w:val="0"/>
              <w:adjustRightInd w:val="0"/>
              <w:rPr>
                <w:rFonts w:cs="Arial"/>
              </w:rPr>
            </w:pPr>
            <w:r>
              <w:rPr>
                <w:rFonts w:cs="Arial"/>
              </w:rPr>
              <w:t>U</w:t>
            </w:r>
            <w:r w:rsidRPr="00795EC8">
              <w:rPr>
                <w:rFonts w:cs="Arial"/>
              </w:rPr>
              <w:t xml:space="preserve">tilisation </w:t>
            </w:r>
            <w:r>
              <w:rPr>
                <w:rFonts w:cs="Arial"/>
              </w:rPr>
              <w:t>of consultant connect</w:t>
            </w:r>
          </w:p>
          <w:p w:rsidR="00B21810" w:rsidRPr="00795EC8" w:rsidRDefault="00B21810" w:rsidP="00E845F8">
            <w:pPr>
              <w:pStyle w:val="ListParagraph"/>
              <w:numPr>
                <w:ilvl w:val="1"/>
                <w:numId w:val="12"/>
              </w:numPr>
              <w:autoSpaceDE w:val="0"/>
              <w:autoSpaceDN w:val="0"/>
              <w:adjustRightInd w:val="0"/>
              <w:rPr>
                <w:rFonts w:cs="Arial"/>
              </w:rPr>
            </w:pPr>
            <w:r>
              <w:rPr>
                <w:rFonts w:cs="Arial"/>
              </w:rPr>
              <w:t>Utilisation of Advice and Guidance</w:t>
            </w:r>
          </w:p>
          <w:p w:rsidR="00B21810" w:rsidRPr="00795EC8" w:rsidRDefault="00B21810" w:rsidP="00E845F8">
            <w:pPr>
              <w:pStyle w:val="ListParagraph"/>
              <w:numPr>
                <w:ilvl w:val="1"/>
                <w:numId w:val="12"/>
              </w:numPr>
              <w:autoSpaceDE w:val="0"/>
              <w:autoSpaceDN w:val="0"/>
              <w:adjustRightInd w:val="0"/>
              <w:rPr>
                <w:rFonts w:cs="Arial"/>
              </w:rPr>
            </w:pPr>
            <w:r w:rsidRPr="00795EC8">
              <w:rPr>
                <w:rFonts w:cs="Arial"/>
              </w:rPr>
              <w:t>Participation in Peer Review Process across localities</w:t>
            </w:r>
          </w:p>
          <w:p w:rsidR="00B21810" w:rsidRPr="00E845F8" w:rsidRDefault="00B21810" w:rsidP="00E845F8">
            <w:pPr>
              <w:pStyle w:val="ListParagraph"/>
              <w:numPr>
                <w:ilvl w:val="1"/>
                <w:numId w:val="12"/>
              </w:numPr>
              <w:autoSpaceDE w:val="0"/>
              <w:autoSpaceDN w:val="0"/>
              <w:adjustRightInd w:val="0"/>
              <w:rPr>
                <w:rFonts w:eastAsia="Times New Roman" w:cs="Times New Roman"/>
              </w:rPr>
            </w:pPr>
            <w:r>
              <w:rPr>
                <w:rFonts w:cs="Arial"/>
              </w:rPr>
              <w:t>P</w:t>
            </w:r>
            <w:r w:rsidRPr="00795EC8">
              <w:rPr>
                <w:rFonts w:cs="Arial"/>
              </w:rPr>
              <w:t xml:space="preserve">atient level data validation exercises for EM or OP related specialties.  </w:t>
            </w:r>
          </w:p>
          <w:p w:rsidR="00E845F8" w:rsidRDefault="00E845F8" w:rsidP="00E845F8">
            <w:pPr>
              <w:pStyle w:val="ListParagraph"/>
              <w:numPr>
                <w:ilvl w:val="0"/>
                <w:numId w:val="12"/>
              </w:numPr>
              <w:rPr>
                <w:rFonts w:eastAsia="Times New Roman" w:cs="Times New Roman"/>
              </w:rPr>
            </w:pPr>
            <w:r>
              <w:rPr>
                <w:rFonts w:eastAsia="Times New Roman" w:cs="Times New Roman"/>
              </w:rPr>
              <w:t>The reports will also focus on agreed priority areas / specialties thereby adopting an incremental and manageable approach.</w:t>
            </w:r>
          </w:p>
          <w:p w:rsidR="000873EA" w:rsidRPr="00C55669" w:rsidRDefault="000873EA" w:rsidP="000873EA">
            <w:pPr>
              <w:pStyle w:val="ListParagraph"/>
              <w:numPr>
                <w:ilvl w:val="0"/>
                <w:numId w:val="12"/>
              </w:numPr>
              <w:rPr>
                <w:rFonts w:eastAsia="Times New Roman" w:cs="Times New Roman"/>
              </w:rPr>
            </w:pPr>
            <w:r>
              <w:rPr>
                <w:rFonts w:eastAsia="Times New Roman" w:cs="Times New Roman"/>
              </w:rPr>
              <w:t>The reports will include commentary and suggestions on where performance could be improved to allow practices to consider where changes could be trialled and any key areas of ‘best practice’ that could be shared with peers.</w:t>
            </w:r>
          </w:p>
          <w:p w:rsidR="00E845F8" w:rsidRPr="00E845F8" w:rsidRDefault="00E845F8" w:rsidP="00E845F8">
            <w:pPr>
              <w:autoSpaceDE w:val="0"/>
              <w:autoSpaceDN w:val="0"/>
              <w:adjustRightInd w:val="0"/>
              <w:rPr>
                <w:rFonts w:eastAsia="Times New Roman" w:cs="Times New Roman"/>
              </w:rPr>
            </w:pPr>
          </w:p>
        </w:tc>
        <w:tc>
          <w:tcPr>
            <w:tcW w:w="992" w:type="dxa"/>
          </w:tcPr>
          <w:p w:rsidR="00B21810" w:rsidRPr="00094FE3" w:rsidRDefault="00B21810" w:rsidP="001C1676">
            <w:pPr>
              <w:autoSpaceDE w:val="0"/>
              <w:autoSpaceDN w:val="0"/>
              <w:adjustRightInd w:val="0"/>
            </w:pPr>
            <w:r>
              <w:rPr>
                <w:rFonts w:cs="Arial"/>
                <w:bCs/>
              </w:rPr>
              <w:t>RB, JW, MCS</w:t>
            </w:r>
            <w:r w:rsidR="00C942EB">
              <w:rPr>
                <w:rFonts w:cs="Arial"/>
                <w:bCs/>
              </w:rPr>
              <w:t xml:space="preserve"> (</w:t>
            </w:r>
            <w:r w:rsidR="007E6D7F">
              <w:rPr>
                <w:rFonts w:cs="Arial"/>
                <w:bCs/>
              </w:rPr>
              <w:t>data analysis provider)</w:t>
            </w:r>
          </w:p>
        </w:tc>
        <w:tc>
          <w:tcPr>
            <w:tcW w:w="992" w:type="dxa"/>
          </w:tcPr>
          <w:p w:rsidR="00B21810" w:rsidRPr="00094FE3" w:rsidRDefault="00B21810" w:rsidP="001C1676">
            <w:pPr>
              <w:autoSpaceDE w:val="0"/>
              <w:autoSpaceDN w:val="0"/>
              <w:adjustRightInd w:val="0"/>
            </w:pPr>
            <w:r>
              <w:rPr>
                <w:rFonts w:cs="Arial"/>
                <w:bCs/>
              </w:rPr>
              <w:t>10/17</w:t>
            </w:r>
          </w:p>
        </w:tc>
      </w:tr>
      <w:tr w:rsidR="00B21810" w:rsidRPr="00094FE3" w:rsidTr="001C1676">
        <w:tc>
          <w:tcPr>
            <w:tcW w:w="534" w:type="dxa"/>
          </w:tcPr>
          <w:p w:rsidR="00B21810" w:rsidRPr="00D34E49" w:rsidRDefault="004D28E9" w:rsidP="001C1676">
            <w:pPr>
              <w:rPr>
                <w:rFonts w:eastAsia="Times New Roman" w:cs="Times New Roman"/>
              </w:rPr>
            </w:pPr>
            <w:r>
              <w:rPr>
                <w:rFonts w:eastAsia="Times New Roman" w:cs="Times New Roman"/>
              </w:rPr>
              <w:t>4</w:t>
            </w:r>
          </w:p>
        </w:tc>
        <w:tc>
          <w:tcPr>
            <w:tcW w:w="6521" w:type="dxa"/>
          </w:tcPr>
          <w:p w:rsidR="00B21810" w:rsidRPr="004D28E9" w:rsidRDefault="00B21810" w:rsidP="004D28E9">
            <w:pPr>
              <w:pStyle w:val="ListParagraph"/>
              <w:numPr>
                <w:ilvl w:val="0"/>
                <w:numId w:val="17"/>
              </w:numPr>
              <w:rPr>
                <w:rFonts w:eastAsia="Times New Roman" w:cs="Times New Roman"/>
              </w:rPr>
            </w:pPr>
            <w:r w:rsidRPr="004D28E9">
              <w:rPr>
                <w:rFonts w:eastAsia="Times New Roman" w:cs="Times New Roman"/>
              </w:rPr>
              <w:t>Compare the practice information to identify;</w:t>
            </w:r>
          </w:p>
          <w:p w:rsidR="00B21810" w:rsidRDefault="00B21810" w:rsidP="00B21810">
            <w:pPr>
              <w:pStyle w:val="ListParagraph"/>
              <w:numPr>
                <w:ilvl w:val="1"/>
                <w:numId w:val="9"/>
              </w:numPr>
              <w:rPr>
                <w:rFonts w:eastAsia="Times New Roman" w:cs="Times New Roman"/>
              </w:rPr>
            </w:pPr>
            <w:r>
              <w:rPr>
                <w:rFonts w:eastAsia="Times New Roman" w:cs="Times New Roman"/>
              </w:rPr>
              <w:t xml:space="preserve">Key themes </w:t>
            </w:r>
          </w:p>
          <w:p w:rsidR="00B21810" w:rsidRPr="004D28E9" w:rsidRDefault="004D28E9" w:rsidP="004D28E9">
            <w:pPr>
              <w:pStyle w:val="ListParagraph"/>
              <w:numPr>
                <w:ilvl w:val="1"/>
                <w:numId w:val="9"/>
              </w:numPr>
              <w:rPr>
                <w:rFonts w:eastAsia="Times New Roman" w:cs="Times New Roman"/>
              </w:rPr>
            </w:pPr>
            <w:r>
              <w:rPr>
                <w:rFonts w:eastAsia="Times New Roman" w:cs="Times New Roman"/>
              </w:rPr>
              <w:t xml:space="preserve">Significant areas of variance </w:t>
            </w:r>
            <w:r w:rsidR="00B21810">
              <w:rPr>
                <w:rFonts w:eastAsia="Times New Roman" w:cs="Times New Roman"/>
              </w:rPr>
              <w:t>between practices</w:t>
            </w:r>
          </w:p>
          <w:p w:rsidR="00E845F8" w:rsidRPr="00E845F8" w:rsidRDefault="00E845F8" w:rsidP="00E845F8">
            <w:pPr>
              <w:pStyle w:val="ListParagraph"/>
              <w:ind w:left="1080"/>
              <w:rPr>
                <w:rFonts w:eastAsia="Times New Roman" w:cs="Times New Roman"/>
              </w:rPr>
            </w:pPr>
          </w:p>
        </w:tc>
        <w:tc>
          <w:tcPr>
            <w:tcW w:w="992" w:type="dxa"/>
          </w:tcPr>
          <w:p w:rsidR="00B21810" w:rsidRPr="00094FE3" w:rsidRDefault="00E24FB7" w:rsidP="001C1676">
            <w:pPr>
              <w:autoSpaceDE w:val="0"/>
              <w:autoSpaceDN w:val="0"/>
              <w:adjustRightInd w:val="0"/>
            </w:pPr>
            <w:r>
              <w:t>RB / JW</w:t>
            </w:r>
          </w:p>
        </w:tc>
        <w:tc>
          <w:tcPr>
            <w:tcW w:w="992" w:type="dxa"/>
          </w:tcPr>
          <w:p w:rsidR="00B21810" w:rsidRPr="00094FE3" w:rsidRDefault="00E24FB7" w:rsidP="001C1676">
            <w:pPr>
              <w:autoSpaceDE w:val="0"/>
              <w:autoSpaceDN w:val="0"/>
              <w:adjustRightInd w:val="0"/>
            </w:pPr>
            <w:r>
              <w:t>10/17</w:t>
            </w:r>
          </w:p>
        </w:tc>
      </w:tr>
      <w:tr w:rsidR="00D34E49" w:rsidRPr="00094FE3" w:rsidTr="00D34E49">
        <w:tc>
          <w:tcPr>
            <w:tcW w:w="534" w:type="dxa"/>
          </w:tcPr>
          <w:p w:rsidR="00D34E49" w:rsidRPr="00D34E49" w:rsidRDefault="004D28E9" w:rsidP="00D34E49">
            <w:pPr>
              <w:autoSpaceDE w:val="0"/>
              <w:autoSpaceDN w:val="0"/>
              <w:adjustRightInd w:val="0"/>
              <w:rPr>
                <w:rFonts w:cs="Arial"/>
                <w:bCs/>
              </w:rPr>
            </w:pPr>
            <w:r>
              <w:rPr>
                <w:rFonts w:cs="Arial"/>
                <w:bCs/>
              </w:rPr>
              <w:t>5</w:t>
            </w:r>
          </w:p>
        </w:tc>
        <w:tc>
          <w:tcPr>
            <w:tcW w:w="6521" w:type="dxa"/>
          </w:tcPr>
          <w:p w:rsidR="00D34E49" w:rsidRPr="00094FE3" w:rsidRDefault="00E845F8" w:rsidP="004D28E9">
            <w:pPr>
              <w:pStyle w:val="ListParagraph"/>
              <w:numPr>
                <w:ilvl w:val="0"/>
                <w:numId w:val="11"/>
              </w:numPr>
              <w:autoSpaceDE w:val="0"/>
              <w:autoSpaceDN w:val="0"/>
              <w:adjustRightInd w:val="0"/>
              <w:rPr>
                <w:rFonts w:cs="Arial"/>
                <w:bCs/>
              </w:rPr>
            </w:pPr>
            <w:r>
              <w:rPr>
                <w:rFonts w:cs="Arial"/>
                <w:bCs/>
              </w:rPr>
              <w:t xml:space="preserve">Determine </w:t>
            </w:r>
            <w:r w:rsidR="004D28E9">
              <w:rPr>
                <w:rFonts w:cs="Arial"/>
                <w:bCs/>
              </w:rPr>
              <w:t xml:space="preserve">which key areas to focus on and where </w:t>
            </w:r>
            <w:r w:rsidR="004D28E9">
              <w:rPr>
                <w:rFonts w:eastAsia="Times New Roman" w:cs="Times New Roman"/>
              </w:rPr>
              <w:t>f</w:t>
            </w:r>
            <w:r w:rsidR="004D28E9" w:rsidRPr="00C55669">
              <w:rPr>
                <w:rFonts w:eastAsia="Times New Roman" w:cs="Times New Roman"/>
              </w:rPr>
              <w:t xml:space="preserve">urther analysis </w:t>
            </w:r>
            <w:r w:rsidR="004D28E9">
              <w:rPr>
                <w:rFonts w:eastAsia="Times New Roman" w:cs="Times New Roman"/>
              </w:rPr>
              <w:t xml:space="preserve">would </w:t>
            </w:r>
            <w:r w:rsidR="000873EA">
              <w:rPr>
                <w:rFonts w:eastAsia="Times New Roman" w:cs="Times New Roman"/>
              </w:rPr>
              <w:t xml:space="preserve">be </w:t>
            </w:r>
            <w:r w:rsidR="004D28E9">
              <w:rPr>
                <w:rFonts w:eastAsia="Times New Roman" w:cs="Times New Roman"/>
              </w:rPr>
              <w:t>beneficial</w:t>
            </w:r>
            <w:r w:rsidR="004D28E9">
              <w:rPr>
                <w:rFonts w:cs="Arial"/>
                <w:bCs/>
              </w:rPr>
              <w:t xml:space="preserve">.  This may include asking practices to </w:t>
            </w:r>
            <w:r w:rsidR="004D28E9" w:rsidRPr="00094FE3">
              <w:rPr>
                <w:rFonts w:cs="Arial"/>
                <w:bCs/>
              </w:rPr>
              <w:t xml:space="preserve">conduct audits </w:t>
            </w:r>
            <w:r w:rsidR="000873EA">
              <w:rPr>
                <w:rFonts w:cs="Arial"/>
                <w:bCs/>
              </w:rPr>
              <w:t>and identify</w:t>
            </w:r>
            <w:r w:rsidR="004D28E9" w:rsidRPr="00094FE3">
              <w:rPr>
                <w:rFonts w:cs="Arial"/>
                <w:bCs/>
              </w:rPr>
              <w:t xml:space="preserve"> key themes</w:t>
            </w:r>
            <w:r w:rsidR="000873EA">
              <w:rPr>
                <w:rFonts w:cs="Arial"/>
                <w:bCs/>
              </w:rPr>
              <w:t xml:space="preserve"> for further consideration.</w:t>
            </w:r>
          </w:p>
        </w:tc>
        <w:tc>
          <w:tcPr>
            <w:tcW w:w="992" w:type="dxa"/>
          </w:tcPr>
          <w:p w:rsidR="00D34E49" w:rsidRPr="00094FE3" w:rsidRDefault="00E24FB7" w:rsidP="00094FE3">
            <w:pPr>
              <w:autoSpaceDE w:val="0"/>
              <w:autoSpaceDN w:val="0"/>
              <w:adjustRightInd w:val="0"/>
              <w:rPr>
                <w:rFonts w:cs="Arial"/>
                <w:bCs/>
              </w:rPr>
            </w:pPr>
            <w:r>
              <w:rPr>
                <w:rFonts w:cs="Arial"/>
                <w:bCs/>
              </w:rPr>
              <w:t>RB / JW</w:t>
            </w:r>
          </w:p>
        </w:tc>
        <w:tc>
          <w:tcPr>
            <w:tcW w:w="992" w:type="dxa"/>
          </w:tcPr>
          <w:p w:rsidR="00D34E49" w:rsidRPr="00094FE3" w:rsidRDefault="00E24FB7" w:rsidP="00094FE3">
            <w:pPr>
              <w:autoSpaceDE w:val="0"/>
              <w:autoSpaceDN w:val="0"/>
              <w:adjustRightInd w:val="0"/>
              <w:rPr>
                <w:rFonts w:cs="Arial"/>
                <w:bCs/>
              </w:rPr>
            </w:pPr>
            <w:r>
              <w:rPr>
                <w:rFonts w:cs="Arial"/>
                <w:bCs/>
              </w:rPr>
              <w:t>10/17</w:t>
            </w:r>
          </w:p>
        </w:tc>
      </w:tr>
      <w:tr w:rsidR="00D34E49" w:rsidRPr="00094FE3" w:rsidTr="00D34E49">
        <w:tc>
          <w:tcPr>
            <w:tcW w:w="534" w:type="dxa"/>
          </w:tcPr>
          <w:p w:rsidR="00D34E49" w:rsidRPr="00D34E49" w:rsidRDefault="000873EA" w:rsidP="00D34E49">
            <w:pPr>
              <w:rPr>
                <w:rFonts w:eastAsia="Times New Roman" w:cs="Times New Roman"/>
              </w:rPr>
            </w:pPr>
            <w:r>
              <w:rPr>
                <w:rFonts w:eastAsia="Times New Roman" w:cs="Times New Roman"/>
              </w:rPr>
              <w:t>6</w:t>
            </w:r>
          </w:p>
        </w:tc>
        <w:tc>
          <w:tcPr>
            <w:tcW w:w="6521" w:type="dxa"/>
          </w:tcPr>
          <w:p w:rsidR="00D34E49" w:rsidRDefault="00D34E49" w:rsidP="00D25193">
            <w:pPr>
              <w:pStyle w:val="ListParagraph"/>
              <w:numPr>
                <w:ilvl w:val="0"/>
                <w:numId w:val="12"/>
              </w:numPr>
              <w:rPr>
                <w:rFonts w:eastAsia="Times New Roman" w:cs="Times New Roman"/>
              </w:rPr>
            </w:pPr>
            <w:r w:rsidRPr="00C55669">
              <w:rPr>
                <w:rFonts w:eastAsia="Times New Roman" w:cs="Times New Roman"/>
              </w:rPr>
              <w:t xml:space="preserve">Utilise Locality Meetings on a </w:t>
            </w:r>
            <w:r w:rsidRPr="00C55669">
              <w:rPr>
                <w:rFonts w:eastAsia="Times New Roman" w:cs="Times New Roman"/>
                <w:u w:val="single"/>
              </w:rPr>
              <w:t>quarterly basis</w:t>
            </w:r>
            <w:r w:rsidRPr="00C55669">
              <w:rPr>
                <w:rFonts w:eastAsia="Times New Roman" w:cs="Times New Roman"/>
              </w:rPr>
              <w:t xml:space="preserve"> for an</w:t>
            </w:r>
            <w:r>
              <w:rPr>
                <w:rFonts w:eastAsia="Times New Roman" w:cs="Times New Roman"/>
              </w:rPr>
              <w:t xml:space="preserve"> open and </w:t>
            </w:r>
            <w:r w:rsidRPr="00C55669">
              <w:rPr>
                <w:rFonts w:eastAsia="Times New Roman" w:cs="Times New Roman"/>
              </w:rPr>
              <w:t>informed discussion of these performance reports and areas where practice could be changed to stimulate improved performance.</w:t>
            </w:r>
          </w:p>
          <w:p w:rsidR="00D34E49" w:rsidRDefault="00D34E49" w:rsidP="00D25193">
            <w:pPr>
              <w:pStyle w:val="ListParagraph"/>
              <w:ind w:left="360"/>
              <w:rPr>
                <w:rFonts w:eastAsia="Times New Roman" w:cs="Times New Roman"/>
              </w:rPr>
            </w:pPr>
          </w:p>
        </w:tc>
        <w:tc>
          <w:tcPr>
            <w:tcW w:w="992" w:type="dxa"/>
          </w:tcPr>
          <w:p w:rsidR="00D34E49" w:rsidRPr="00094FE3" w:rsidRDefault="00E24FB7" w:rsidP="00094FE3">
            <w:pPr>
              <w:autoSpaceDE w:val="0"/>
              <w:autoSpaceDN w:val="0"/>
              <w:adjustRightInd w:val="0"/>
            </w:pPr>
            <w:r>
              <w:t>RB / JW</w:t>
            </w:r>
          </w:p>
        </w:tc>
        <w:tc>
          <w:tcPr>
            <w:tcW w:w="992" w:type="dxa"/>
          </w:tcPr>
          <w:p w:rsidR="00D34E49" w:rsidRPr="00094FE3" w:rsidRDefault="00E24FB7" w:rsidP="00094FE3">
            <w:pPr>
              <w:autoSpaceDE w:val="0"/>
              <w:autoSpaceDN w:val="0"/>
              <w:adjustRightInd w:val="0"/>
            </w:pPr>
            <w:r>
              <w:t>11/17</w:t>
            </w:r>
          </w:p>
        </w:tc>
      </w:tr>
    </w:tbl>
    <w:p w:rsidR="00334A37" w:rsidRDefault="00334A37" w:rsidP="00525F0F">
      <w:pPr>
        <w:pStyle w:val="ListParagraph"/>
        <w:rPr>
          <w:rFonts w:eastAsia="Times New Roman" w:cs="Times New Roman"/>
        </w:rPr>
      </w:pPr>
    </w:p>
    <w:p w:rsidR="00E24FB7" w:rsidRDefault="00E24FB7" w:rsidP="00525F0F">
      <w:pPr>
        <w:pStyle w:val="ListParagraph"/>
        <w:rPr>
          <w:rFonts w:eastAsia="Times New Roman" w:cs="Times New Roman"/>
        </w:rPr>
      </w:pPr>
    </w:p>
    <w:p w:rsidR="00E24FB7" w:rsidRDefault="00E24FB7" w:rsidP="00E24FB7">
      <w:pPr>
        <w:pStyle w:val="ListParagraph"/>
        <w:numPr>
          <w:ilvl w:val="0"/>
          <w:numId w:val="5"/>
        </w:numPr>
        <w:rPr>
          <w:rFonts w:eastAsia="Times New Roman" w:cs="Times New Roman"/>
          <w:b/>
        </w:rPr>
      </w:pPr>
      <w:r w:rsidRPr="00E24FB7">
        <w:rPr>
          <w:rFonts w:eastAsia="Times New Roman" w:cs="Times New Roman"/>
          <w:b/>
        </w:rPr>
        <w:t xml:space="preserve"> </w:t>
      </w:r>
      <w:r w:rsidR="00773CC7">
        <w:rPr>
          <w:rFonts w:eastAsia="Times New Roman" w:cs="Times New Roman"/>
          <w:b/>
        </w:rPr>
        <w:t>Resources</w:t>
      </w:r>
    </w:p>
    <w:p w:rsidR="0073149D" w:rsidRPr="0073149D" w:rsidRDefault="0073149D" w:rsidP="0073149D">
      <w:pPr>
        <w:rPr>
          <w:rFonts w:eastAsia="Times New Roman" w:cs="Times New Roman"/>
        </w:rPr>
      </w:pPr>
      <w:r>
        <w:rPr>
          <w:rFonts w:eastAsia="Times New Roman" w:cs="Times New Roman"/>
        </w:rPr>
        <w:t>We need to agree the principles for resourcing this scheme.  Whilst there are six months remaining of the current year, we hope that the scheme will continue into FY18/19.</w:t>
      </w:r>
    </w:p>
    <w:p w:rsidR="00773CC7" w:rsidRPr="00773CC7" w:rsidRDefault="00773CC7" w:rsidP="00773CC7">
      <w:pPr>
        <w:pStyle w:val="ListParagraph"/>
        <w:numPr>
          <w:ilvl w:val="0"/>
          <w:numId w:val="12"/>
        </w:numPr>
        <w:rPr>
          <w:rFonts w:eastAsia="Times New Roman" w:cs="Times New Roman"/>
        </w:rPr>
      </w:pPr>
      <w:r w:rsidRPr="00773CC7">
        <w:rPr>
          <w:rFonts w:eastAsia="Times New Roman" w:cs="Times New Roman"/>
        </w:rPr>
        <w:t xml:space="preserve">Data Analyst – </w:t>
      </w:r>
      <w:r w:rsidR="0053025B">
        <w:rPr>
          <w:rFonts w:eastAsia="Times New Roman" w:cs="Times New Roman"/>
        </w:rPr>
        <w:t>options for the Fed</w:t>
      </w:r>
      <w:r w:rsidR="0073149D">
        <w:rPr>
          <w:rFonts w:eastAsia="Times New Roman" w:cs="Times New Roman"/>
        </w:rPr>
        <w:t>eration</w:t>
      </w:r>
      <w:r w:rsidR="0053025B">
        <w:rPr>
          <w:rFonts w:eastAsia="Times New Roman" w:cs="Times New Roman"/>
        </w:rPr>
        <w:t xml:space="preserve"> to </w:t>
      </w:r>
      <w:r w:rsidRPr="00773CC7">
        <w:rPr>
          <w:rFonts w:eastAsia="Times New Roman" w:cs="Times New Roman"/>
        </w:rPr>
        <w:t>e</w:t>
      </w:r>
      <w:r w:rsidR="0053025B">
        <w:rPr>
          <w:rFonts w:eastAsia="Times New Roman" w:cs="Times New Roman"/>
        </w:rPr>
        <w:t>mploy or utilise CCG resource.</w:t>
      </w:r>
    </w:p>
    <w:p w:rsidR="0053025B" w:rsidRDefault="00E24FB7" w:rsidP="00773CC7">
      <w:pPr>
        <w:pStyle w:val="ListParagraph"/>
        <w:numPr>
          <w:ilvl w:val="0"/>
          <w:numId w:val="12"/>
        </w:numPr>
        <w:rPr>
          <w:rFonts w:eastAsia="Times New Roman" w:cs="Times New Roman"/>
        </w:rPr>
      </w:pPr>
      <w:r w:rsidRPr="00773CC7">
        <w:rPr>
          <w:rFonts w:eastAsia="Times New Roman" w:cs="Times New Roman"/>
        </w:rPr>
        <w:t>Funding</w:t>
      </w:r>
      <w:r w:rsidR="00773CC7" w:rsidRPr="00773CC7">
        <w:rPr>
          <w:rFonts w:eastAsia="Times New Roman" w:cs="Times New Roman"/>
        </w:rPr>
        <w:t xml:space="preserve"> </w:t>
      </w:r>
      <w:r w:rsidR="0053025B">
        <w:rPr>
          <w:rFonts w:eastAsia="Times New Roman" w:cs="Times New Roman"/>
        </w:rPr>
        <w:t>options;</w:t>
      </w:r>
    </w:p>
    <w:p w:rsidR="0053025B" w:rsidRPr="0053025B" w:rsidRDefault="0053025B" w:rsidP="0053025B">
      <w:pPr>
        <w:pStyle w:val="ListParagraph"/>
        <w:numPr>
          <w:ilvl w:val="1"/>
          <w:numId w:val="12"/>
        </w:numPr>
        <w:rPr>
          <w:rFonts w:eastAsia="Times New Roman" w:cs="Times New Roman"/>
        </w:rPr>
      </w:pPr>
      <w:r>
        <w:rPr>
          <w:rFonts w:eastAsia="Times New Roman" w:cs="Times New Roman"/>
        </w:rPr>
        <w:t>5-10% of the scheme value (</w:t>
      </w:r>
      <w:r w:rsidR="0073149D">
        <w:rPr>
          <w:rFonts w:eastAsia="Times New Roman" w:cs="Times New Roman"/>
        </w:rPr>
        <w:t xml:space="preserve">@ </w:t>
      </w:r>
      <w:r>
        <w:rPr>
          <w:rFonts w:eastAsia="Times New Roman" w:cs="Times New Roman"/>
        </w:rPr>
        <w:t>c.£325K)</w:t>
      </w:r>
    </w:p>
    <w:p w:rsidR="00773CC7" w:rsidRDefault="0053025B" w:rsidP="0053025B">
      <w:pPr>
        <w:pStyle w:val="ListParagraph"/>
        <w:numPr>
          <w:ilvl w:val="1"/>
          <w:numId w:val="12"/>
        </w:numPr>
        <w:rPr>
          <w:rFonts w:eastAsia="Times New Roman" w:cs="Times New Roman"/>
        </w:rPr>
      </w:pPr>
      <w:r>
        <w:rPr>
          <w:rFonts w:eastAsia="Times New Roman" w:cs="Times New Roman"/>
        </w:rPr>
        <w:t>Performance element l</w:t>
      </w:r>
      <w:r w:rsidR="00773CC7" w:rsidRPr="00773CC7">
        <w:rPr>
          <w:rFonts w:eastAsia="Times New Roman" w:cs="Times New Roman"/>
        </w:rPr>
        <w:t>ink</w:t>
      </w:r>
      <w:r>
        <w:rPr>
          <w:rFonts w:eastAsia="Times New Roman" w:cs="Times New Roman"/>
        </w:rPr>
        <w:t>ed</w:t>
      </w:r>
      <w:r w:rsidR="00773CC7" w:rsidRPr="00773CC7">
        <w:rPr>
          <w:rFonts w:eastAsia="Times New Roman" w:cs="Times New Roman"/>
        </w:rPr>
        <w:t xml:space="preserve"> to a share of savings from reduced admissions </w:t>
      </w:r>
      <w:proofErr w:type="spellStart"/>
      <w:r w:rsidR="00773CC7" w:rsidRPr="00773CC7">
        <w:rPr>
          <w:rFonts w:eastAsia="Times New Roman" w:cs="Times New Roman"/>
        </w:rPr>
        <w:t>etc</w:t>
      </w:r>
      <w:proofErr w:type="spellEnd"/>
      <w:r w:rsidR="00773CC7" w:rsidRPr="00773CC7">
        <w:rPr>
          <w:rFonts w:eastAsia="Times New Roman" w:cs="Times New Roman"/>
        </w:rPr>
        <w:t>?</w:t>
      </w:r>
    </w:p>
    <w:p w:rsidR="0073149D" w:rsidRPr="00773CC7" w:rsidRDefault="0073149D" w:rsidP="0053025B">
      <w:pPr>
        <w:pStyle w:val="ListParagraph"/>
        <w:numPr>
          <w:ilvl w:val="1"/>
          <w:numId w:val="12"/>
        </w:numPr>
        <w:rPr>
          <w:rFonts w:eastAsia="Times New Roman" w:cs="Times New Roman"/>
        </w:rPr>
      </w:pPr>
      <w:r>
        <w:rPr>
          <w:rFonts w:eastAsia="Times New Roman" w:cs="Times New Roman"/>
        </w:rPr>
        <w:t>Other?</w:t>
      </w:r>
    </w:p>
    <w:sectPr w:rsidR="0073149D" w:rsidRPr="00773CC7" w:rsidSect="00E845F8">
      <w:headerReference w:type="default" r:id="rId9"/>
      <w:footerReference w:type="default" r:id="rId10"/>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76" w:rsidRDefault="001C1676" w:rsidP="00525F0F">
      <w:pPr>
        <w:spacing w:after="0" w:line="240" w:lineRule="auto"/>
      </w:pPr>
      <w:r>
        <w:separator/>
      </w:r>
    </w:p>
  </w:endnote>
  <w:endnote w:type="continuationSeparator" w:id="0">
    <w:p w:rsidR="001C1676" w:rsidRDefault="001C1676" w:rsidP="0052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85610034"/>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1C1676" w:rsidRPr="00E46833" w:rsidRDefault="001C1676" w:rsidP="00E46833">
            <w:pPr>
              <w:pStyle w:val="Footer"/>
              <w:jc w:val="center"/>
              <w:rPr>
                <w:bCs/>
                <w:sz w:val="18"/>
                <w:szCs w:val="18"/>
              </w:rPr>
            </w:pPr>
            <w:r w:rsidRPr="00E46833">
              <w:rPr>
                <w:sz w:val="18"/>
                <w:szCs w:val="18"/>
              </w:rPr>
              <w:t xml:space="preserve">Page </w:t>
            </w:r>
            <w:r w:rsidRPr="00E46833">
              <w:rPr>
                <w:bCs/>
                <w:sz w:val="18"/>
                <w:szCs w:val="18"/>
              </w:rPr>
              <w:fldChar w:fldCharType="begin"/>
            </w:r>
            <w:r w:rsidRPr="00E46833">
              <w:rPr>
                <w:bCs/>
                <w:sz w:val="18"/>
                <w:szCs w:val="18"/>
              </w:rPr>
              <w:instrText xml:space="preserve"> PAGE </w:instrText>
            </w:r>
            <w:r w:rsidRPr="00E46833">
              <w:rPr>
                <w:bCs/>
                <w:sz w:val="18"/>
                <w:szCs w:val="18"/>
              </w:rPr>
              <w:fldChar w:fldCharType="separate"/>
            </w:r>
            <w:r w:rsidR="00E352C6">
              <w:rPr>
                <w:bCs/>
                <w:noProof/>
                <w:sz w:val="18"/>
                <w:szCs w:val="18"/>
              </w:rPr>
              <w:t>1</w:t>
            </w:r>
            <w:r w:rsidRPr="00E46833">
              <w:rPr>
                <w:bCs/>
                <w:sz w:val="18"/>
                <w:szCs w:val="18"/>
              </w:rPr>
              <w:fldChar w:fldCharType="end"/>
            </w:r>
            <w:r w:rsidRPr="00E46833">
              <w:rPr>
                <w:sz w:val="18"/>
                <w:szCs w:val="18"/>
              </w:rPr>
              <w:t xml:space="preserve"> of </w:t>
            </w:r>
            <w:r w:rsidRPr="00E46833">
              <w:rPr>
                <w:bCs/>
                <w:sz w:val="18"/>
                <w:szCs w:val="18"/>
              </w:rPr>
              <w:fldChar w:fldCharType="begin"/>
            </w:r>
            <w:r w:rsidRPr="00E46833">
              <w:rPr>
                <w:bCs/>
                <w:sz w:val="18"/>
                <w:szCs w:val="18"/>
              </w:rPr>
              <w:instrText xml:space="preserve"> NUMPAGES  </w:instrText>
            </w:r>
            <w:r w:rsidRPr="00E46833">
              <w:rPr>
                <w:bCs/>
                <w:sz w:val="18"/>
                <w:szCs w:val="18"/>
              </w:rPr>
              <w:fldChar w:fldCharType="separate"/>
            </w:r>
            <w:r w:rsidR="00E352C6">
              <w:rPr>
                <w:bCs/>
                <w:noProof/>
                <w:sz w:val="18"/>
                <w:szCs w:val="18"/>
              </w:rPr>
              <w:t>2</w:t>
            </w:r>
            <w:r w:rsidRPr="00E46833">
              <w:rPr>
                <w:bCs/>
                <w:sz w:val="18"/>
                <w:szCs w:val="18"/>
              </w:rPr>
              <w:fldChar w:fldCharType="end"/>
            </w:r>
            <w:r w:rsidRPr="00E46833">
              <w:rPr>
                <w:bCs/>
                <w:sz w:val="18"/>
                <w:szCs w:val="18"/>
              </w:rPr>
              <w:t xml:space="preserve">                                                                                                                                                   </w:t>
            </w:r>
            <w:r>
              <w:rPr>
                <w:bCs/>
                <w:sz w:val="18"/>
                <w:szCs w:val="18"/>
              </w:rPr>
              <w:t>September</w:t>
            </w:r>
            <w:r w:rsidRPr="00E46833">
              <w:rPr>
                <w:bCs/>
                <w:sz w:val="18"/>
                <w:szCs w:val="18"/>
              </w:rPr>
              <w:t xml:space="preserve"> 2017</w:t>
            </w:r>
          </w:p>
        </w:sdtContent>
      </w:sdt>
    </w:sdtContent>
  </w:sdt>
  <w:p w:rsidR="001C1676" w:rsidRDefault="001C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76" w:rsidRDefault="001C1676" w:rsidP="00525F0F">
      <w:pPr>
        <w:spacing w:after="0" w:line="240" w:lineRule="auto"/>
      </w:pPr>
      <w:r>
        <w:separator/>
      </w:r>
    </w:p>
  </w:footnote>
  <w:footnote w:type="continuationSeparator" w:id="0">
    <w:p w:rsidR="001C1676" w:rsidRDefault="001C1676" w:rsidP="00525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6" w:rsidRDefault="00E352C6">
    <w:pPr>
      <w:pStyle w:val="Header"/>
    </w:pPr>
    <w:r>
      <w:t>Paper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043"/>
    <w:multiLevelType w:val="hybridMultilevel"/>
    <w:tmpl w:val="0838B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1354C0"/>
    <w:multiLevelType w:val="hybridMultilevel"/>
    <w:tmpl w:val="77B61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9D7E70"/>
    <w:multiLevelType w:val="hybridMultilevel"/>
    <w:tmpl w:val="C49C1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B3246"/>
    <w:multiLevelType w:val="hybridMultilevel"/>
    <w:tmpl w:val="894A4F30"/>
    <w:lvl w:ilvl="0" w:tplc="0809000F">
      <w:start w:val="1"/>
      <w:numFmt w:val="decimal"/>
      <w:lvlText w:val="%1."/>
      <w:lvlJc w:val="left"/>
      <w:pPr>
        <w:ind w:left="360" w:hanging="360"/>
      </w:pPr>
      <w:rPr>
        <w:rFonts w:hint="default"/>
      </w:r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1162D"/>
    <w:multiLevelType w:val="hybridMultilevel"/>
    <w:tmpl w:val="CECAD21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750239"/>
    <w:multiLevelType w:val="hybridMultilevel"/>
    <w:tmpl w:val="F55C6D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8B1F69"/>
    <w:multiLevelType w:val="hybridMultilevel"/>
    <w:tmpl w:val="824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98108A"/>
    <w:multiLevelType w:val="hybridMultilevel"/>
    <w:tmpl w:val="48D8E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051A97"/>
    <w:multiLevelType w:val="hybridMultilevel"/>
    <w:tmpl w:val="76A4D6F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B340B"/>
    <w:multiLevelType w:val="hybridMultilevel"/>
    <w:tmpl w:val="91C01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353601D"/>
    <w:multiLevelType w:val="hybridMultilevel"/>
    <w:tmpl w:val="0F06D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6E96F97"/>
    <w:multiLevelType w:val="hybridMultilevel"/>
    <w:tmpl w:val="A84A8DA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95D14A3"/>
    <w:multiLevelType w:val="singleLevel"/>
    <w:tmpl w:val="0AA6CF16"/>
    <w:lvl w:ilvl="0">
      <w:start w:val="1"/>
      <w:numFmt w:val="bullet"/>
      <w:lvlText w:val=""/>
      <w:lvlJc w:val="left"/>
      <w:pPr>
        <w:tabs>
          <w:tab w:val="num" w:pos="720"/>
        </w:tabs>
        <w:ind w:left="720" w:hanging="720"/>
      </w:pPr>
      <w:rPr>
        <w:rFonts w:ascii="Wingdings" w:hAnsi="Wingdings" w:hint="default"/>
        <w:sz w:val="20"/>
      </w:rPr>
    </w:lvl>
  </w:abstractNum>
  <w:abstractNum w:abstractNumId="13">
    <w:nsid w:val="597E049A"/>
    <w:multiLevelType w:val="hybridMultilevel"/>
    <w:tmpl w:val="5A4E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EA5068"/>
    <w:multiLevelType w:val="hybridMultilevel"/>
    <w:tmpl w:val="2A6E0638"/>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64765284"/>
    <w:multiLevelType w:val="hybridMultilevel"/>
    <w:tmpl w:val="E7B6CB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936278"/>
    <w:multiLevelType w:val="hybridMultilevel"/>
    <w:tmpl w:val="DEC612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6"/>
  </w:num>
  <w:num w:numId="5">
    <w:abstractNumId w:val="3"/>
  </w:num>
  <w:num w:numId="6">
    <w:abstractNumId w:val="5"/>
  </w:num>
  <w:num w:numId="7">
    <w:abstractNumId w:val="12"/>
  </w:num>
  <w:num w:numId="8">
    <w:abstractNumId w:val="2"/>
  </w:num>
  <w:num w:numId="9">
    <w:abstractNumId w:val="11"/>
  </w:num>
  <w:num w:numId="10">
    <w:abstractNumId w:val="15"/>
  </w:num>
  <w:num w:numId="11">
    <w:abstractNumId w:val="1"/>
  </w:num>
  <w:num w:numId="12">
    <w:abstractNumId w:val="0"/>
  </w:num>
  <w:num w:numId="13">
    <w:abstractNumId w:val="14"/>
  </w:num>
  <w:num w:numId="14">
    <w:abstractNumId w:val="8"/>
  </w:num>
  <w:num w:numId="15">
    <w:abstractNumId w:val="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B5"/>
    <w:rsid w:val="00015B91"/>
    <w:rsid w:val="00050E4E"/>
    <w:rsid w:val="00063176"/>
    <w:rsid w:val="00070329"/>
    <w:rsid w:val="0008263A"/>
    <w:rsid w:val="000873EA"/>
    <w:rsid w:val="00094FE3"/>
    <w:rsid w:val="000C5C1E"/>
    <w:rsid w:val="000F78D6"/>
    <w:rsid w:val="0018270E"/>
    <w:rsid w:val="001875D8"/>
    <w:rsid w:val="001C1676"/>
    <w:rsid w:val="00221F8A"/>
    <w:rsid w:val="0023655C"/>
    <w:rsid w:val="00240DAD"/>
    <w:rsid w:val="00290F5F"/>
    <w:rsid w:val="002C4F93"/>
    <w:rsid w:val="002E43C0"/>
    <w:rsid w:val="0032780D"/>
    <w:rsid w:val="00334A37"/>
    <w:rsid w:val="003453AB"/>
    <w:rsid w:val="00377611"/>
    <w:rsid w:val="003830B5"/>
    <w:rsid w:val="003E28D3"/>
    <w:rsid w:val="004315B1"/>
    <w:rsid w:val="00455B2C"/>
    <w:rsid w:val="00486E05"/>
    <w:rsid w:val="004A2E11"/>
    <w:rsid w:val="004D28E9"/>
    <w:rsid w:val="00525F0F"/>
    <w:rsid w:val="0053025B"/>
    <w:rsid w:val="00544570"/>
    <w:rsid w:val="00544990"/>
    <w:rsid w:val="005F2628"/>
    <w:rsid w:val="005F2E94"/>
    <w:rsid w:val="005F6EEE"/>
    <w:rsid w:val="00605B01"/>
    <w:rsid w:val="00646FD8"/>
    <w:rsid w:val="00677D01"/>
    <w:rsid w:val="0069138E"/>
    <w:rsid w:val="00694DBC"/>
    <w:rsid w:val="006A6489"/>
    <w:rsid w:val="006A6A00"/>
    <w:rsid w:val="006E030C"/>
    <w:rsid w:val="00720AAF"/>
    <w:rsid w:val="0073149D"/>
    <w:rsid w:val="00753F85"/>
    <w:rsid w:val="00773CC7"/>
    <w:rsid w:val="00795EC8"/>
    <w:rsid w:val="007D22A6"/>
    <w:rsid w:val="007E6D7F"/>
    <w:rsid w:val="0080284F"/>
    <w:rsid w:val="008730BD"/>
    <w:rsid w:val="0089103E"/>
    <w:rsid w:val="008A4DBE"/>
    <w:rsid w:val="00905DAB"/>
    <w:rsid w:val="009129B5"/>
    <w:rsid w:val="00920583"/>
    <w:rsid w:val="009500FF"/>
    <w:rsid w:val="009553FD"/>
    <w:rsid w:val="009877F4"/>
    <w:rsid w:val="009A13DF"/>
    <w:rsid w:val="00A45801"/>
    <w:rsid w:val="00A62E03"/>
    <w:rsid w:val="00AC3FD7"/>
    <w:rsid w:val="00AD00AF"/>
    <w:rsid w:val="00B0569A"/>
    <w:rsid w:val="00B21810"/>
    <w:rsid w:val="00B2374E"/>
    <w:rsid w:val="00B240FE"/>
    <w:rsid w:val="00C03D97"/>
    <w:rsid w:val="00C55669"/>
    <w:rsid w:val="00C5585F"/>
    <w:rsid w:val="00C942EB"/>
    <w:rsid w:val="00CE48EB"/>
    <w:rsid w:val="00D25193"/>
    <w:rsid w:val="00D26BAD"/>
    <w:rsid w:val="00D34E49"/>
    <w:rsid w:val="00D50265"/>
    <w:rsid w:val="00D52630"/>
    <w:rsid w:val="00D665E4"/>
    <w:rsid w:val="00E24FB7"/>
    <w:rsid w:val="00E352C6"/>
    <w:rsid w:val="00E44C32"/>
    <w:rsid w:val="00E46833"/>
    <w:rsid w:val="00E65B5D"/>
    <w:rsid w:val="00E805CE"/>
    <w:rsid w:val="00E82F2E"/>
    <w:rsid w:val="00E845F8"/>
    <w:rsid w:val="00EC6E32"/>
    <w:rsid w:val="00EE4C5C"/>
    <w:rsid w:val="00EF0984"/>
    <w:rsid w:val="00EF59B5"/>
    <w:rsid w:val="00F31AD3"/>
    <w:rsid w:val="00F33255"/>
    <w:rsid w:val="00F40DE9"/>
    <w:rsid w:val="00F42336"/>
    <w:rsid w:val="00F6660B"/>
    <w:rsid w:val="00F7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30"/>
    <w:rPr>
      <w:rFonts w:ascii="Tahoma" w:hAnsi="Tahoma" w:cs="Tahoma"/>
      <w:sz w:val="16"/>
      <w:szCs w:val="16"/>
    </w:rPr>
  </w:style>
  <w:style w:type="paragraph" w:styleId="ListParagraph">
    <w:name w:val="List Paragraph"/>
    <w:basedOn w:val="Normal"/>
    <w:uiPriority w:val="34"/>
    <w:qFormat/>
    <w:rsid w:val="00F31AD3"/>
    <w:pPr>
      <w:ind w:left="720"/>
      <w:contextualSpacing/>
    </w:pPr>
  </w:style>
  <w:style w:type="paragraph" w:styleId="Header">
    <w:name w:val="header"/>
    <w:basedOn w:val="Normal"/>
    <w:link w:val="HeaderChar"/>
    <w:uiPriority w:val="99"/>
    <w:unhideWhenUsed/>
    <w:rsid w:val="00525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F0F"/>
  </w:style>
  <w:style w:type="paragraph" w:styleId="Footer">
    <w:name w:val="footer"/>
    <w:basedOn w:val="Normal"/>
    <w:link w:val="FooterChar"/>
    <w:uiPriority w:val="99"/>
    <w:unhideWhenUsed/>
    <w:rsid w:val="00525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F0F"/>
  </w:style>
  <w:style w:type="table" w:styleId="TableGrid">
    <w:name w:val="Table Grid"/>
    <w:basedOn w:val="TableNormal"/>
    <w:uiPriority w:val="59"/>
    <w:rsid w:val="0009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30"/>
    <w:rPr>
      <w:rFonts w:ascii="Tahoma" w:hAnsi="Tahoma" w:cs="Tahoma"/>
      <w:sz w:val="16"/>
      <w:szCs w:val="16"/>
    </w:rPr>
  </w:style>
  <w:style w:type="paragraph" w:styleId="ListParagraph">
    <w:name w:val="List Paragraph"/>
    <w:basedOn w:val="Normal"/>
    <w:uiPriority w:val="34"/>
    <w:qFormat/>
    <w:rsid w:val="00F31AD3"/>
    <w:pPr>
      <w:ind w:left="720"/>
      <w:contextualSpacing/>
    </w:pPr>
  </w:style>
  <w:style w:type="paragraph" w:styleId="Header">
    <w:name w:val="header"/>
    <w:basedOn w:val="Normal"/>
    <w:link w:val="HeaderChar"/>
    <w:uiPriority w:val="99"/>
    <w:unhideWhenUsed/>
    <w:rsid w:val="00525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F0F"/>
  </w:style>
  <w:style w:type="paragraph" w:styleId="Footer">
    <w:name w:val="footer"/>
    <w:basedOn w:val="Normal"/>
    <w:link w:val="FooterChar"/>
    <w:uiPriority w:val="99"/>
    <w:unhideWhenUsed/>
    <w:rsid w:val="00525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F0F"/>
  </w:style>
  <w:style w:type="table" w:styleId="TableGrid">
    <w:name w:val="Table Grid"/>
    <w:basedOn w:val="TableNormal"/>
    <w:uiPriority w:val="59"/>
    <w:rsid w:val="0009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3</cp:revision>
  <cp:lastPrinted>2017-09-11T10:15:00Z</cp:lastPrinted>
  <dcterms:created xsi:type="dcterms:W3CDTF">2017-09-18T12:04:00Z</dcterms:created>
  <dcterms:modified xsi:type="dcterms:W3CDTF">2017-09-18T22:35:00Z</dcterms:modified>
</cp:coreProperties>
</file>