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9E0" w:rsidRPr="00DA09E0" w:rsidRDefault="0045401C" w:rsidP="00DA09E0">
      <w:pPr>
        <w:widowControl w:val="0"/>
        <w:autoSpaceDE w:val="0"/>
        <w:autoSpaceDN w:val="0"/>
        <w:adjustRightInd w:val="0"/>
        <w:jc w:val="center"/>
        <w:rPr>
          <w:rFonts w:cs="Arial"/>
          <w:b/>
          <w:iCs/>
          <w:sz w:val="22"/>
          <w:szCs w:val="22"/>
        </w:rPr>
      </w:pPr>
      <w:r>
        <w:rPr>
          <w:noProof/>
          <w:lang w:val="en-GB" w:eastAsia="en-GB"/>
        </w:rPr>
        <w:drawing>
          <wp:anchor distT="0" distB="0" distL="114300" distR="114300" simplePos="0" relativeHeight="251659264" behindDoc="0" locked="0" layoutInCell="1" allowOverlap="1" wp14:anchorId="6A37B527" wp14:editId="762D96D2">
            <wp:simplePos x="0" y="0"/>
            <wp:positionH relativeFrom="column">
              <wp:posOffset>5549900</wp:posOffset>
            </wp:positionH>
            <wp:positionV relativeFrom="paragraph">
              <wp:posOffset>-562905</wp:posOffset>
            </wp:positionV>
            <wp:extent cx="710932" cy="655396"/>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0932" cy="655396"/>
                    </a:xfrm>
                    <a:prstGeom prst="rect">
                      <a:avLst/>
                    </a:prstGeom>
                    <a:noFill/>
                  </pic:spPr>
                </pic:pic>
              </a:graphicData>
            </a:graphic>
            <wp14:sizeRelH relativeFrom="margin">
              <wp14:pctWidth>0</wp14:pctWidth>
            </wp14:sizeRelH>
            <wp14:sizeRelV relativeFrom="margin">
              <wp14:pctHeight>0</wp14:pctHeight>
            </wp14:sizeRelV>
          </wp:anchor>
        </w:drawing>
      </w:r>
      <w:r w:rsidR="00DA09E0" w:rsidRPr="00DA09E0">
        <w:rPr>
          <w:rFonts w:cs="Arial"/>
          <w:b/>
          <w:iCs/>
          <w:sz w:val="22"/>
          <w:szCs w:val="22"/>
        </w:rPr>
        <w:t>ELR GP Federation Ltd</w:t>
      </w:r>
    </w:p>
    <w:p w:rsidR="00DA09E0" w:rsidRPr="00DA09E0" w:rsidRDefault="00DA09E0" w:rsidP="00DA09E0">
      <w:pPr>
        <w:widowControl w:val="0"/>
        <w:autoSpaceDE w:val="0"/>
        <w:autoSpaceDN w:val="0"/>
        <w:adjustRightInd w:val="0"/>
        <w:jc w:val="center"/>
        <w:rPr>
          <w:rFonts w:cs="Arial"/>
          <w:b/>
          <w:iCs/>
          <w:sz w:val="22"/>
          <w:szCs w:val="22"/>
        </w:rPr>
      </w:pPr>
    </w:p>
    <w:p w:rsidR="00DA09E0" w:rsidRPr="00D91792" w:rsidRDefault="00DA09E0" w:rsidP="00DA09E0">
      <w:pPr>
        <w:widowControl w:val="0"/>
        <w:autoSpaceDE w:val="0"/>
        <w:autoSpaceDN w:val="0"/>
        <w:adjustRightInd w:val="0"/>
        <w:jc w:val="center"/>
        <w:rPr>
          <w:rFonts w:cs="Arial"/>
          <w:b/>
          <w:iCs/>
          <w:sz w:val="22"/>
          <w:szCs w:val="22"/>
          <w:u w:val="single"/>
        </w:rPr>
      </w:pPr>
      <w:r w:rsidRPr="00D91792">
        <w:rPr>
          <w:rFonts w:cs="Arial"/>
          <w:b/>
          <w:iCs/>
          <w:sz w:val="22"/>
          <w:szCs w:val="22"/>
          <w:u w:val="single"/>
        </w:rPr>
        <w:t xml:space="preserve">Chief Operating Officer Report – </w:t>
      </w:r>
      <w:r w:rsidR="004B424C">
        <w:rPr>
          <w:rFonts w:cs="Arial"/>
          <w:b/>
          <w:iCs/>
          <w:sz w:val="22"/>
          <w:szCs w:val="22"/>
          <w:u w:val="single"/>
        </w:rPr>
        <w:t>April</w:t>
      </w:r>
      <w:r w:rsidR="00A3484D">
        <w:rPr>
          <w:rFonts w:cs="Arial"/>
          <w:b/>
          <w:iCs/>
          <w:sz w:val="22"/>
          <w:szCs w:val="22"/>
          <w:u w:val="single"/>
        </w:rPr>
        <w:t xml:space="preserve"> 2018</w:t>
      </w:r>
    </w:p>
    <w:p w:rsidR="00DA09E0" w:rsidRPr="00DA09E0" w:rsidRDefault="00DA09E0" w:rsidP="00DA09E0">
      <w:pPr>
        <w:widowControl w:val="0"/>
        <w:autoSpaceDE w:val="0"/>
        <w:autoSpaceDN w:val="0"/>
        <w:adjustRightInd w:val="0"/>
        <w:jc w:val="center"/>
        <w:rPr>
          <w:rFonts w:cs="Arial"/>
          <w:b/>
          <w:iCs/>
          <w:sz w:val="22"/>
          <w:szCs w:val="22"/>
        </w:rPr>
      </w:pPr>
    </w:p>
    <w:p w:rsidR="008767FE" w:rsidRPr="008767FE" w:rsidRDefault="00983E4C" w:rsidP="00993498">
      <w:pPr>
        <w:pStyle w:val="ListParagraph"/>
        <w:widowControl w:val="0"/>
        <w:numPr>
          <w:ilvl w:val="0"/>
          <w:numId w:val="1"/>
        </w:numPr>
        <w:tabs>
          <w:tab w:val="left" w:pos="220"/>
          <w:tab w:val="left" w:pos="720"/>
        </w:tabs>
        <w:autoSpaceDE w:val="0"/>
        <w:autoSpaceDN w:val="0"/>
        <w:adjustRightInd w:val="0"/>
        <w:spacing w:line="276" w:lineRule="auto"/>
        <w:rPr>
          <w:rFonts w:cs="Arial"/>
          <w:sz w:val="22"/>
          <w:szCs w:val="22"/>
        </w:rPr>
      </w:pPr>
      <w:r>
        <w:rPr>
          <w:rFonts w:eastAsia="Times New Roman" w:cs="Helvetica"/>
          <w:b/>
          <w:color w:val="333333"/>
          <w:sz w:val="22"/>
          <w:szCs w:val="22"/>
          <w:lang w:val="en-GB" w:eastAsia="en-GB"/>
        </w:rPr>
        <w:t>S</w:t>
      </w:r>
      <w:r w:rsidR="00543220">
        <w:rPr>
          <w:rFonts w:eastAsia="Times New Roman" w:cs="Helvetica"/>
          <w:b/>
          <w:color w:val="333333"/>
          <w:sz w:val="22"/>
          <w:szCs w:val="22"/>
          <w:lang w:val="en-GB" w:eastAsia="en-GB"/>
        </w:rPr>
        <w:t>trategy</w:t>
      </w:r>
      <w:r w:rsidR="005E30E0" w:rsidRPr="00E143FD">
        <w:rPr>
          <w:rFonts w:eastAsia="Times New Roman" w:cs="Helvetica"/>
          <w:b/>
          <w:color w:val="333333"/>
          <w:sz w:val="22"/>
          <w:szCs w:val="22"/>
          <w:lang w:val="en-GB" w:eastAsia="en-GB"/>
        </w:rPr>
        <w:t xml:space="preserve"> </w:t>
      </w:r>
      <w:r w:rsidR="004C2C6F">
        <w:rPr>
          <w:rFonts w:eastAsia="Times New Roman" w:cs="Helvetica"/>
          <w:b/>
          <w:color w:val="333333"/>
          <w:sz w:val="22"/>
          <w:szCs w:val="22"/>
          <w:lang w:val="en-GB" w:eastAsia="en-GB"/>
        </w:rPr>
        <w:t>and</w:t>
      </w:r>
      <w:r>
        <w:rPr>
          <w:rFonts w:eastAsia="Times New Roman" w:cs="Helvetica"/>
          <w:b/>
          <w:color w:val="333333"/>
          <w:sz w:val="22"/>
          <w:szCs w:val="22"/>
          <w:lang w:val="en-GB" w:eastAsia="en-GB"/>
        </w:rPr>
        <w:t xml:space="preserve"> roles and responsibilities</w:t>
      </w:r>
    </w:p>
    <w:p w:rsidR="004948A0" w:rsidRDefault="004948A0" w:rsidP="00AC427F">
      <w:pPr>
        <w:pStyle w:val="ListParagraph"/>
        <w:widowControl w:val="0"/>
        <w:tabs>
          <w:tab w:val="left" w:pos="220"/>
          <w:tab w:val="left" w:pos="720"/>
        </w:tabs>
        <w:autoSpaceDE w:val="0"/>
        <w:autoSpaceDN w:val="0"/>
        <w:adjustRightInd w:val="0"/>
        <w:spacing w:line="276" w:lineRule="auto"/>
        <w:ind w:left="221"/>
        <w:rPr>
          <w:rFonts w:eastAsia="Times New Roman" w:cs="Helvetica"/>
          <w:color w:val="333333"/>
          <w:sz w:val="22"/>
          <w:szCs w:val="22"/>
          <w:lang w:val="en-GB" w:eastAsia="en-GB"/>
        </w:rPr>
      </w:pPr>
    </w:p>
    <w:p w:rsidR="00983E4C" w:rsidRDefault="00BE4AB7" w:rsidP="00AC427F">
      <w:pPr>
        <w:pStyle w:val="ListParagraph"/>
        <w:widowControl w:val="0"/>
        <w:tabs>
          <w:tab w:val="left" w:pos="220"/>
          <w:tab w:val="left" w:pos="720"/>
        </w:tabs>
        <w:autoSpaceDE w:val="0"/>
        <w:autoSpaceDN w:val="0"/>
        <w:adjustRightInd w:val="0"/>
        <w:spacing w:line="276" w:lineRule="auto"/>
        <w:ind w:left="221"/>
        <w:rPr>
          <w:rFonts w:eastAsia="Times New Roman" w:cs="Helvetica"/>
          <w:color w:val="333333"/>
          <w:sz w:val="22"/>
          <w:szCs w:val="22"/>
          <w:lang w:val="en-GB" w:eastAsia="en-GB"/>
        </w:rPr>
      </w:pPr>
      <w:r>
        <w:rPr>
          <w:rFonts w:eastAsia="Times New Roman" w:cs="Helvetica"/>
          <w:color w:val="333333"/>
          <w:sz w:val="22"/>
          <w:szCs w:val="22"/>
          <w:lang w:val="en-GB" w:eastAsia="en-GB"/>
        </w:rPr>
        <w:t xml:space="preserve">Following </w:t>
      </w:r>
      <w:r w:rsidR="00983E4C">
        <w:rPr>
          <w:rFonts w:eastAsia="Times New Roman" w:cs="Helvetica"/>
          <w:color w:val="333333"/>
          <w:sz w:val="22"/>
          <w:szCs w:val="22"/>
          <w:lang w:val="en-GB" w:eastAsia="en-GB"/>
        </w:rPr>
        <w:t>the discussion at the last Board</w:t>
      </w:r>
      <w:r w:rsidR="004948A0">
        <w:rPr>
          <w:rFonts w:eastAsia="Times New Roman" w:cs="Helvetica"/>
          <w:color w:val="333333"/>
          <w:sz w:val="22"/>
          <w:szCs w:val="22"/>
          <w:lang w:val="en-GB" w:eastAsia="en-GB"/>
        </w:rPr>
        <w:t xml:space="preserve"> – see action plan below;</w:t>
      </w:r>
    </w:p>
    <w:p w:rsidR="00983E4C" w:rsidRDefault="00983E4C" w:rsidP="00AC427F">
      <w:pPr>
        <w:pStyle w:val="ListParagraph"/>
        <w:widowControl w:val="0"/>
        <w:tabs>
          <w:tab w:val="left" w:pos="220"/>
          <w:tab w:val="left" w:pos="720"/>
        </w:tabs>
        <w:autoSpaceDE w:val="0"/>
        <w:autoSpaceDN w:val="0"/>
        <w:adjustRightInd w:val="0"/>
        <w:spacing w:line="276" w:lineRule="auto"/>
        <w:ind w:left="221"/>
        <w:rPr>
          <w:rFonts w:eastAsia="Times New Roman" w:cs="Helvetica"/>
          <w:color w:val="333333"/>
          <w:sz w:val="22"/>
          <w:szCs w:val="22"/>
          <w:lang w:val="en-GB" w:eastAsia="en-GB"/>
        </w:rPr>
      </w:pPr>
    </w:p>
    <w:tbl>
      <w:tblPr>
        <w:tblStyle w:val="TableGrid"/>
        <w:tblW w:w="9796" w:type="dxa"/>
        <w:tblInd w:w="-176" w:type="dxa"/>
        <w:tblLook w:val="04A0" w:firstRow="1" w:lastRow="0" w:firstColumn="1" w:lastColumn="0" w:noHBand="0" w:noVBand="1"/>
      </w:tblPr>
      <w:tblGrid>
        <w:gridCol w:w="4962"/>
        <w:gridCol w:w="4834"/>
      </w:tblGrid>
      <w:tr w:rsidR="00983E4C" w:rsidRPr="00983E4C" w:rsidTr="00614C24">
        <w:tc>
          <w:tcPr>
            <w:tcW w:w="4962" w:type="dxa"/>
          </w:tcPr>
          <w:p w:rsidR="00983E4C" w:rsidRPr="00983E4C" w:rsidRDefault="00983E4C" w:rsidP="00D9662D">
            <w:pPr>
              <w:jc w:val="both"/>
              <w:rPr>
                <w:rFonts w:cs="Calibri"/>
                <w:b/>
                <w:sz w:val="22"/>
                <w:szCs w:val="22"/>
              </w:rPr>
            </w:pPr>
            <w:r w:rsidRPr="00983E4C">
              <w:rPr>
                <w:rFonts w:cs="Calibri"/>
                <w:b/>
                <w:sz w:val="22"/>
                <w:szCs w:val="22"/>
              </w:rPr>
              <w:t>Action</w:t>
            </w:r>
          </w:p>
        </w:tc>
        <w:tc>
          <w:tcPr>
            <w:tcW w:w="4834" w:type="dxa"/>
          </w:tcPr>
          <w:p w:rsidR="00983E4C" w:rsidRPr="00983E4C" w:rsidRDefault="00983E4C" w:rsidP="00D9662D">
            <w:pPr>
              <w:jc w:val="both"/>
              <w:rPr>
                <w:rFonts w:cs="Calibri"/>
                <w:b/>
                <w:sz w:val="22"/>
                <w:szCs w:val="22"/>
              </w:rPr>
            </w:pPr>
            <w:r w:rsidRPr="00983E4C">
              <w:rPr>
                <w:rFonts w:cs="Calibri"/>
                <w:b/>
                <w:sz w:val="22"/>
                <w:szCs w:val="22"/>
              </w:rPr>
              <w:t>Update</w:t>
            </w:r>
          </w:p>
        </w:tc>
      </w:tr>
      <w:tr w:rsidR="00983E4C" w:rsidRPr="00983E4C" w:rsidTr="00614C24">
        <w:tc>
          <w:tcPr>
            <w:tcW w:w="4962" w:type="dxa"/>
          </w:tcPr>
          <w:p w:rsidR="00983E4C" w:rsidRPr="00983E4C" w:rsidRDefault="00614C24" w:rsidP="00D9662D">
            <w:pPr>
              <w:jc w:val="both"/>
              <w:rPr>
                <w:rFonts w:asciiTheme="minorHAnsi" w:hAnsiTheme="minorHAnsi" w:cs="Calibri"/>
                <w:b/>
                <w:sz w:val="22"/>
                <w:szCs w:val="22"/>
              </w:rPr>
            </w:pPr>
            <w:r>
              <w:rPr>
                <w:rFonts w:asciiTheme="minorHAnsi" w:hAnsiTheme="minorHAnsi" w:cs="Calibri"/>
                <w:sz w:val="22"/>
                <w:szCs w:val="22"/>
              </w:rPr>
              <w:t>CQC registration</w:t>
            </w:r>
          </w:p>
        </w:tc>
        <w:tc>
          <w:tcPr>
            <w:tcW w:w="4834" w:type="dxa"/>
          </w:tcPr>
          <w:p w:rsidR="00983E4C" w:rsidRPr="00614C24" w:rsidRDefault="00614C24" w:rsidP="00614C24">
            <w:pPr>
              <w:pStyle w:val="ListParagraph"/>
              <w:numPr>
                <w:ilvl w:val="0"/>
                <w:numId w:val="31"/>
              </w:numPr>
              <w:jc w:val="both"/>
              <w:rPr>
                <w:rFonts w:asciiTheme="minorHAnsi" w:hAnsiTheme="minorHAnsi" w:cs="Calibri"/>
                <w:sz w:val="22"/>
                <w:szCs w:val="22"/>
              </w:rPr>
            </w:pPr>
            <w:r w:rsidRPr="00614C24">
              <w:rPr>
                <w:rFonts w:asciiTheme="minorHAnsi" w:hAnsiTheme="minorHAnsi" w:cs="Calibri"/>
                <w:sz w:val="22"/>
                <w:szCs w:val="22"/>
              </w:rPr>
              <w:t>JW to progress</w:t>
            </w:r>
          </w:p>
        </w:tc>
      </w:tr>
      <w:tr w:rsidR="00983E4C" w:rsidRPr="00983E4C" w:rsidTr="00614C24">
        <w:tc>
          <w:tcPr>
            <w:tcW w:w="4962" w:type="dxa"/>
          </w:tcPr>
          <w:p w:rsidR="00983E4C" w:rsidRPr="00983E4C" w:rsidRDefault="00614C24" w:rsidP="00D9662D">
            <w:pPr>
              <w:jc w:val="both"/>
              <w:rPr>
                <w:rFonts w:asciiTheme="minorHAnsi" w:hAnsiTheme="minorHAnsi" w:cs="Calibri"/>
                <w:b/>
                <w:sz w:val="22"/>
                <w:szCs w:val="22"/>
              </w:rPr>
            </w:pPr>
            <w:r>
              <w:rPr>
                <w:rFonts w:asciiTheme="minorHAnsi" w:hAnsiTheme="minorHAnsi" w:cs="Calibri"/>
                <w:sz w:val="22"/>
                <w:szCs w:val="22"/>
              </w:rPr>
              <w:t>I</w:t>
            </w:r>
            <w:r w:rsidR="00983E4C" w:rsidRPr="00983E4C">
              <w:rPr>
                <w:rFonts w:asciiTheme="minorHAnsi" w:hAnsiTheme="minorHAnsi" w:cs="Calibri"/>
                <w:sz w:val="22"/>
                <w:szCs w:val="22"/>
              </w:rPr>
              <w:t>ndependent provider status to enable it to employ staff with NHS pensions.</w:t>
            </w:r>
          </w:p>
        </w:tc>
        <w:tc>
          <w:tcPr>
            <w:tcW w:w="4834" w:type="dxa"/>
          </w:tcPr>
          <w:p w:rsidR="00983E4C" w:rsidRPr="00614C24" w:rsidRDefault="00614C24" w:rsidP="00614C24">
            <w:pPr>
              <w:pStyle w:val="ListParagraph"/>
              <w:numPr>
                <w:ilvl w:val="0"/>
                <w:numId w:val="31"/>
              </w:numPr>
              <w:jc w:val="both"/>
              <w:rPr>
                <w:rFonts w:asciiTheme="minorHAnsi" w:hAnsiTheme="minorHAnsi" w:cs="Calibri"/>
                <w:sz w:val="22"/>
                <w:szCs w:val="22"/>
              </w:rPr>
            </w:pPr>
            <w:r w:rsidRPr="00614C24">
              <w:rPr>
                <w:rFonts w:asciiTheme="minorHAnsi" w:hAnsiTheme="minorHAnsi" w:cs="Calibri"/>
                <w:sz w:val="22"/>
                <w:szCs w:val="22"/>
              </w:rPr>
              <w:t>Initial conversation with NHS pensions agency – JW to progress</w:t>
            </w:r>
          </w:p>
        </w:tc>
      </w:tr>
      <w:tr w:rsidR="00983E4C" w:rsidRPr="00983E4C" w:rsidTr="00614C24">
        <w:tc>
          <w:tcPr>
            <w:tcW w:w="4962" w:type="dxa"/>
          </w:tcPr>
          <w:p w:rsidR="00983E4C" w:rsidRPr="00983E4C" w:rsidRDefault="00983E4C" w:rsidP="00D9662D">
            <w:pPr>
              <w:jc w:val="both"/>
              <w:rPr>
                <w:rFonts w:asciiTheme="minorHAnsi" w:hAnsiTheme="minorHAnsi" w:cs="Calibri"/>
                <w:b/>
                <w:sz w:val="22"/>
                <w:szCs w:val="22"/>
              </w:rPr>
            </w:pPr>
            <w:r w:rsidRPr="00983E4C">
              <w:rPr>
                <w:rFonts w:asciiTheme="minorHAnsi" w:hAnsiTheme="minorHAnsi" w:cs="Calibri"/>
                <w:sz w:val="22"/>
                <w:szCs w:val="22"/>
              </w:rPr>
              <w:t>Future project support work should be fully costed and charged on a fee for service basis</w:t>
            </w:r>
            <w:r w:rsidR="00614C24">
              <w:rPr>
                <w:rFonts w:asciiTheme="minorHAnsi" w:hAnsiTheme="minorHAnsi" w:cs="Calibri"/>
                <w:sz w:val="22"/>
                <w:szCs w:val="22"/>
              </w:rPr>
              <w:t>.</w:t>
            </w:r>
          </w:p>
        </w:tc>
        <w:tc>
          <w:tcPr>
            <w:tcW w:w="4834" w:type="dxa"/>
          </w:tcPr>
          <w:p w:rsidR="00983E4C" w:rsidRPr="00614C24" w:rsidRDefault="00614C24" w:rsidP="00614C24">
            <w:pPr>
              <w:pStyle w:val="ListParagraph"/>
              <w:numPr>
                <w:ilvl w:val="0"/>
                <w:numId w:val="30"/>
              </w:numPr>
              <w:jc w:val="both"/>
              <w:rPr>
                <w:rFonts w:asciiTheme="minorHAnsi" w:hAnsiTheme="minorHAnsi" w:cs="Calibri"/>
                <w:sz w:val="22"/>
                <w:szCs w:val="22"/>
              </w:rPr>
            </w:pPr>
            <w:r w:rsidRPr="00614C24">
              <w:rPr>
                <w:rFonts w:asciiTheme="minorHAnsi" w:hAnsiTheme="minorHAnsi" w:cs="Calibri"/>
                <w:sz w:val="22"/>
                <w:szCs w:val="22"/>
              </w:rPr>
              <w:t>JW to progress – as we start to support the Localities implement their transformation plans and acute access schemes</w:t>
            </w:r>
          </w:p>
        </w:tc>
      </w:tr>
      <w:tr w:rsidR="00983E4C" w:rsidRPr="00983E4C" w:rsidTr="00614C24">
        <w:tc>
          <w:tcPr>
            <w:tcW w:w="4962" w:type="dxa"/>
          </w:tcPr>
          <w:p w:rsidR="00983E4C" w:rsidRPr="00983E4C" w:rsidRDefault="00983E4C" w:rsidP="00D9662D">
            <w:pPr>
              <w:jc w:val="both"/>
              <w:rPr>
                <w:rFonts w:asciiTheme="minorHAnsi" w:hAnsiTheme="minorHAnsi" w:cs="Calibri"/>
                <w:b/>
                <w:sz w:val="22"/>
                <w:szCs w:val="22"/>
              </w:rPr>
            </w:pPr>
            <w:r w:rsidRPr="00983E4C">
              <w:rPr>
                <w:rFonts w:asciiTheme="minorHAnsi" w:hAnsiTheme="minorHAnsi" w:cs="Calibri"/>
                <w:sz w:val="22"/>
                <w:szCs w:val="22"/>
              </w:rPr>
              <w:t>We should review the Locality transformation plans and create offers to solve practices’ problems and challenges.  For example, assisting practices with their GDPR obligations</w:t>
            </w:r>
          </w:p>
        </w:tc>
        <w:tc>
          <w:tcPr>
            <w:tcW w:w="4834" w:type="dxa"/>
          </w:tcPr>
          <w:p w:rsidR="00983E4C" w:rsidRPr="00614C24" w:rsidRDefault="00614C24" w:rsidP="00614C24">
            <w:pPr>
              <w:pStyle w:val="ListParagraph"/>
              <w:numPr>
                <w:ilvl w:val="0"/>
                <w:numId w:val="29"/>
              </w:numPr>
              <w:jc w:val="both"/>
              <w:rPr>
                <w:rFonts w:asciiTheme="minorHAnsi" w:hAnsiTheme="minorHAnsi" w:cs="Calibri"/>
                <w:sz w:val="22"/>
                <w:szCs w:val="22"/>
              </w:rPr>
            </w:pPr>
            <w:r w:rsidRPr="00614C24">
              <w:rPr>
                <w:rFonts w:asciiTheme="minorHAnsi" w:hAnsiTheme="minorHAnsi" w:cs="Calibri"/>
                <w:sz w:val="22"/>
                <w:szCs w:val="22"/>
              </w:rPr>
              <w:t>Developed an option for GDPR</w:t>
            </w:r>
          </w:p>
          <w:p w:rsidR="00614C24" w:rsidRPr="00614C24" w:rsidRDefault="00614C24" w:rsidP="00614C24">
            <w:pPr>
              <w:pStyle w:val="ListParagraph"/>
              <w:numPr>
                <w:ilvl w:val="0"/>
                <w:numId w:val="29"/>
              </w:numPr>
              <w:jc w:val="both"/>
              <w:rPr>
                <w:rFonts w:cs="Calibri"/>
                <w:sz w:val="22"/>
                <w:szCs w:val="22"/>
              </w:rPr>
            </w:pPr>
            <w:r w:rsidRPr="00614C24">
              <w:rPr>
                <w:rFonts w:asciiTheme="minorHAnsi" w:hAnsiTheme="minorHAnsi" w:cs="Calibri"/>
                <w:sz w:val="22"/>
                <w:szCs w:val="22"/>
              </w:rPr>
              <w:t>Project management support to Rutland, O&amp;W</w:t>
            </w:r>
            <w:r>
              <w:rPr>
                <w:rFonts w:asciiTheme="minorHAnsi" w:hAnsiTheme="minorHAnsi" w:cs="Calibri"/>
                <w:sz w:val="22"/>
                <w:szCs w:val="22"/>
              </w:rPr>
              <w:t>, S Blaby, SLAM</w:t>
            </w:r>
          </w:p>
          <w:p w:rsidR="00614C24" w:rsidRPr="00614C24" w:rsidRDefault="00614C24" w:rsidP="00614C24">
            <w:pPr>
              <w:pStyle w:val="ListParagraph"/>
              <w:numPr>
                <w:ilvl w:val="0"/>
                <w:numId w:val="29"/>
              </w:numPr>
              <w:jc w:val="both"/>
              <w:rPr>
                <w:rFonts w:cs="Calibri"/>
                <w:sz w:val="22"/>
                <w:szCs w:val="22"/>
              </w:rPr>
            </w:pPr>
            <w:r>
              <w:rPr>
                <w:rFonts w:asciiTheme="minorHAnsi" w:hAnsiTheme="minorHAnsi" w:cs="Calibri"/>
                <w:sz w:val="22"/>
                <w:szCs w:val="22"/>
              </w:rPr>
              <w:t>Facilitating joint working in Harborough</w:t>
            </w:r>
          </w:p>
        </w:tc>
      </w:tr>
      <w:tr w:rsidR="00983E4C" w:rsidRPr="00983E4C" w:rsidTr="00614C24">
        <w:tc>
          <w:tcPr>
            <w:tcW w:w="4962" w:type="dxa"/>
          </w:tcPr>
          <w:p w:rsidR="00983E4C" w:rsidRPr="00983E4C" w:rsidRDefault="00983E4C" w:rsidP="00D9662D">
            <w:pPr>
              <w:jc w:val="both"/>
              <w:rPr>
                <w:rFonts w:asciiTheme="minorHAnsi" w:hAnsiTheme="minorHAnsi" w:cs="Calibri"/>
                <w:b/>
                <w:sz w:val="22"/>
                <w:szCs w:val="22"/>
              </w:rPr>
            </w:pPr>
            <w:r w:rsidRPr="00983E4C">
              <w:rPr>
                <w:rFonts w:asciiTheme="minorHAnsi" w:hAnsiTheme="minorHAnsi" w:cs="Calibri"/>
                <w:sz w:val="22"/>
                <w:szCs w:val="22"/>
              </w:rPr>
              <w:t>Actively contribute and support the emerging Lo</w:t>
            </w:r>
            <w:r w:rsidR="00614C24">
              <w:rPr>
                <w:rFonts w:asciiTheme="minorHAnsi" w:hAnsiTheme="minorHAnsi" w:cs="Calibri"/>
                <w:sz w:val="22"/>
                <w:szCs w:val="22"/>
              </w:rPr>
              <w:t>calities and their structures.</w:t>
            </w:r>
          </w:p>
        </w:tc>
        <w:tc>
          <w:tcPr>
            <w:tcW w:w="4834" w:type="dxa"/>
          </w:tcPr>
          <w:p w:rsidR="00983E4C" w:rsidRPr="00614C24" w:rsidRDefault="00614C24" w:rsidP="00614C24">
            <w:pPr>
              <w:pStyle w:val="ListParagraph"/>
              <w:numPr>
                <w:ilvl w:val="0"/>
                <w:numId w:val="33"/>
              </w:numPr>
              <w:jc w:val="both"/>
              <w:rPr>
                <w:rFonts w:asciiTheme="minorHAnsi" w:hAnsiTheme="minorHAnsi" w:cs="Calibri"/>
                <w:sz w:val="22"/>
                <w:szCs w:val="22"/>
              </w:rPr>
            </w:pPr>
            <w:r w:rsidRPr="00614C24">
              <w:rPr>
                <w:rFonts w:asciiTheme="minorHAnsi" w:hAnsiTheme="minorHAnsi" w:cs="Calibri"/>
                <w:sz w:val="22"/>
                <w:szCs w:val="22"/>
              </w:rPr>
              <w:t>Much support provided to all six Localities</w:t>
            </w:r>
          </w:p>
        </w:tc>
      </w:tr>
      <w:tr w:rsidR="00983E4C" w:rsidRPr="00983E4C" w:rsidTr="00614C24">
        <w:tc>
          <w:tcPr>
            <w:tcW w:w="4962" w:type="dxa"/>
          </w:tcPr>
          <w:p w:rsidR="00983E4C" w:rsidRPr="00983E4C" w:rsidRDefault="00983E4C" w:rsidP="00D9662D">
            <w:pPr>
              <w:jc w:val="both"/>
              <w:rPr>
                <w:rFonts w:asciiTheme="minorHAnsi" w:hAnsiTheme="minorHAnsi" w:cs="Calibri"/>
                <w:b/>
                <w:sz w:val="22"/>
                <w:szCs w:val="22"/>
              </w:rPr>
            </w:pPr>
            <w:r w:rsidRPr="00983E4C">
              <w:rPr>
                <w:rFonts w:asciiTheme="minorHAnsi" w:hAnsiTheme="minorHAnsi" w:cs="Calibri"/>
                <w:sz w:val="22"/>
                <w:szCs w:val="22"/>
              </w:rPr>
              <w:t>Consider working with local G</w:t>
            </w:r>
            <w:r w:rsidR="00614C24">
              <w:rPr>
                <w:rFonts w:asciiTheme="minorHAnsi" w:hAnsiTheme="minorHAnsi" w:cs="Calibri"/>
                <w:sz w:val="22"/>
                <w:szCs w:val="22"/>
              </w:rPr>
              <w:t>P Federations, where sensible.</w:t>
            </w:r>
          </w:p>
        </w:tc>
        <w:tc>
          <w:tcPr>
            <w:tcW w:w="4834" w:type="dxa"/>
          </w:tcPr>
          <w:p w:rsidR="00983E4C" w:rsidRPr="00614C24" w:rsidRDefault="00614C24" w:rsidP="00614C24">
            <w:pPr>
              <w:pStyle w:val="ListParagraph"/>
              <w:numPr>
                <w:ilvl w:val="0"/>
                <w:numId w:val="32"/>
              </w:numPr>
              <w:jc w:val="both"/>
              <w:rPr>
                <w:rFonts w:asciiTheme="minorHAnsi" w:hAnsiTheme="minorHAnsi" w:cs="Calibri"/>
                <w:sz w:val="22"/>
                <w:szCs w:val="22"/>
              </w:rPr>
            </w:pPr>
            <w:r w:rsidRPr="00614C24">
              <w:rPr>
                <w:rFonts w:asciiTheme="minorHAnsi" w:hAnsiTheme="minorHAnsi" w:cs="Calibri"/>
                <w:sz w:val="22"/>
                <w:szCs w:val="22"/>
              </w:rPr>
              <w:t>4 Fed are keen to join forces</w:t>
            </w:r>
          </w:p>
        </w:tc>
      </w:tr>
      <w:tr w:rsidR="004948A0" w:rsidRPr="004948A0" w:rsidTr="00614C24">
        <w:tc>
          <w:tcPr>
            <w:tcW w:w="4962" w:type="dxa"/>
          </w:tcPr>
          <w:p w:rsidR="004948A0" w:rsidRDefault="004948A0" w:rsidP="00D9662D">
            <w:pPr>
              <w:jc w:val="both"/>
              <w:rPr>
                <w:rFonts w:asciiTheme="minorHAnsi" w:hAnsiTheme="minorHAnsi" w:cs="Calibri"/>
                <w:sz w:val="22"/>
                <w:szCs w:val="22"/>
              </w:rPr>
            </w:pPr>
            <w:r w:rsidRPr="004948A0">
              <w:rPr>
                <w:rFonts w:asciiTheme="minorHAnsi" w:hAnsiTheme="minorHAnsi" w:cs="Calibri"/>
                <w:sz w:val="22"/>
                <w:szCs w:val="22"/>
              </w:rPr>
              <w:t>Business and budget plan from April 2019</w:t>
            </w:r>
            <w:r w:rsidR="008272FB">
              <w:rPr>
                <w:rFonts w:asciiTheme="minorHAnsi" w:hAnsiTheme="minorHAnsi" w:cs="Calibri"/>
                <w:sz w:val="22"/>
                <w:szCs w:val="22"/>
              </w:rPr>
              <w:t>;</w:t>
            </w:r>
          </w:p>
          <w:p w:rsidR="008272FB" w:rsidRDefault="008272FB" w:rsidP="00D9662D">
            <w:pPr>
              <w:jc w:val="both"/>
              <w:rPr>
                <w:rFonts w:asciiTheme="minorHAnsi" w:hAnsiTheme="minorHAnsi" w:cs="Calibri"/>
                <w:sz w:val="22"/>
                <w:szCs w:val="22"/>
              </w:rPr>
            </w:pPr>
            <w:r>
              <w:rPr>
                <w:rFonts w:asciiTheme="minorHAnsi" w:hAnsiTheme="minorHAnsi" w:cs="Calibri"/>
                <w:sz w:val="22"/>
                <w:szCs w:val="22"/>
              </w:rPr>
              <w:t>3 potential income streams;</w:t>
            </w:r>
          </w:p>
          <w:p w:rsidR="008272FB" w:rsidRPr="008272FB" w:rsidRDefault="008272FB" w:rsidP="008272FB">
            <w:pPr>
              <w:pStyle w:val="ListParagraph"/>
              <w:numPr>
                <w:ilvl w:val="0"/>
                <w:numId w:val="43"/>
              </w:numPr>
              <w:jc w:val="both"/>
              <w:rPr>
                <w:rFonts w:asciiTheme="minorHAnsi" w:hAnsiTheme="minorHAnsi" w:cs="Calibri"/>
                <w:sz w:val="22"/>
                <w:szCs w:val="22"/>
              </w:rPr>
            </w:pPr>
            <w:r w:rsidRPr="008272FB">
              <w:rPr>
                <w:rFonts w:asciiTheme="minorHAnsi" w:hAnsiTheme="minorHAnsi" w:cs="Calibri"/>
                <w:sz w:val="22"/>
                <w:szCs w:val="22"/>
              </w:rPr>
              <w:t>Service contracts</w:t>
            </w:r>
          </w:p>
          <w:p w:rsidR="008272FB" w:rsidRPr="008272FB" w:rsidRDefault="008272FB" w:rsidP="008272FB">
            <w:pPr>
              <w:pStyle w:val="ListParagraph"/>
              <w:numPr>
                <w:ilvl w:val="0"/>
                <w:numId w:val="43"/>
              </w:numPr>
              <w:jc w:val="both"/>
              <w:rPr>
                <w:rFonts w:asciiTheme="minorHAnsi" w:hAnsiTheme="minorHAnsi" w:cs="Calibri"/>
                <w:sz w:val="22"/>
                <w:szCs w:val="22"/>
              </w:rPr>
            </w:pPr>
            <w:r w:rsidRPr="008272FB">
              <w:rPr>
                <w:rFonts w:asciiTheme="minorHAnsi" w:hAnsiTheme="minorHAnsi" w:cs="Calibri"/>
                <w:sz w:val="22"/>
                <w:szCs w:val="22"/>
              </w:rPr>
              <w:t>Fees for service</w:t>
            </w:r>
          </w:p>
          <w:p w:rsidR="008272FB" w:rsidRPr="008272FB" w:rsidRDefault="008272FB" w:rsidP="008272FB">
            <w:pPr>
              <w:pStyle w:val="ListParagraph"/>
              <w:numPr>
                <w:ilvl w:val="0"/>
                <w:numId w:val="43"/>
              </w:numPr>
              <w:jc w:val="both"/>
              <w:rPr>
                <w:rFonts w:cs="Calibri"/>
                <w:sz w:val="22"/>
                <w:szCs w:val="22"/>
              </w:rPr>
            </w:pPr>
            <w:r w:rsidRPr="008272FB">
              <w:rPr>
                <w:rFonts w:asciiTheme="minorHAnsi" w:hAnsiTheme="minorHAnsi" w:cs="Calibri"/>
                <w:sz w:val="22"/>
                <w:szCs w:val="22"/>
              </w:rPr>
              <w:t>Practice contribution</w:t>
            </w:r>
          </w:p>
        </w:tc>
        <w:tc>
          <w:tcPr>
            <w:tcW w:w="4834" w:type="dxa"/>
          </w:tcPr>
          <w:p w:rsidR="004948A0" w:rsidRDefault="004948A0" w:rsidP="00614C24">
            <w:pPr>
              <w:pStyle w:val="ListParagraph"/>
              <w:numPr>
                <w:ilvl w:val="0"/>
                <w:numId w:val="32"/>
              </w:numPr>
              <w:jc w:val="both"/>
              <w:rPr>
                <w:rFonts w:asciiTheme="minorHAnsi" w:hAnsiTheme="minorHAnsi" w:cs="Calibri"/>
                <w:sz w:val="22"/>
                <w:szCs w:val="22"/>
              </w:rPr>
            </w:pPr>
            <w:r w:rsidRPr="004948A0">
              <w:rPr>
                <w:rFonts w:asciiTheme="minorHAnsi" w:hAnsiTheme="minorHAnsi" w:cs="Calibri"/>
                <w:sz w:val="22"/>
                <w:szCs w:val="22"/>
              </w:rPr>
              <w:t>JW to progress</w:t>
            </w:r>
          </w:p>
          <w:p w:rsidR="008272FB" w:rsidRPr="004948A0" w:rsidRDefault="008272FB" w:rsidP="00614C24">
            <w:pPr>
              <w:pStyle w:val="ListParagraph"/>
              <w:numPr>
                <w:ilvl w:val="0"/>
                <w:numId w:val="32"/>
              </w:numPr>
              <w:jc w:val="both"/>
              <w:rPr>
                <w:rFonts w:asciiTheme="minorHAnsi" w:hAnsiTheme="minorHAnsi" w:cs="Calibri"/>
                <w:sz w:val="22"/>
                <w:szCs w:val="22"/>
              </w:rPr>
            </w:pPr>
            <w:r>
              <w:rPr>
                <w:rFonts w:asciiTheme="minorHAnsi" w:hAnsiTheme="minorHAnsi" w:cs="Calibri"/>
                <w:sz w:val="22"/>
                <w:szCs w:val="22"/>
              </w:rPr>
              <w:t>Early consultation with CCG / practices</w:t>
            </w:r>
          </w:p>
        </w:tc>
      </w:tr>
    </w:tbl>
    <w:p w:rsidR="00983E4C" w:rsidRDefault="00983E4C" w:rsidP="00AC427F">
      <w:pPr>
        <w:pStyle w:val="ListParagraph"/>
        <w:widowControl w:val="0"/>
        <w:tabs>
          <w:tab w:val="left" w:pos="220"/>
          <w:tab w:val="left" w:pos="720"/>
        </w:tabs>
        <w:autoSpaceDE w:val="0"/>
        <w:autoSpaceDN w:val="0"/>
        <w:adjustRightInd w:val="0"/>
        <w:spacing w:line="276" w:lineRule="auto"/>
        <w:ind w:left="221"/>
        <w:rPr>
          <w:rFonts w:eastAsia="Times New Roman" w:cs="Helvetica"/>
          <w:color w:val="333333"/>
          <w:sz w:val="22"/>
          <w:szCs w:val="22"/>
          <w:lang w:val="en-GB" w:eastAsia="en-GB"/>
        </w:rPr>
      </w:pPr>
    </w:p>
    <w:p w:rsidR="00E918C0" w:rsidRPr="003F3C66" w:rsidRDefault="00551071" w:rsidP="008767FE">
      <w:pPr>
        <w:pStyle w:val="ListParagraph"/>
        <w:widowControl w:val="0"/>
        <w:tabs>
          <w:tab w:val="left" w:pos="220"/>
          <w:tab w:val="left" w:pos="720"/>
        </w:tabs>
        <w:autoSpaceDE w:val="0"/>
        <w:autoSpaceDN w:val="0"/>
        <w:adjustRightInd w:val="0"/>
        <w:ind w:left="220"/>
        <w:rPr>
          <w:rFonts w:eastAsia="Times New Roman" w:cs="Helvetica"/>
          <w:b/>
          <w:color w:val="333333"/>
          <w:sz w:val="22"/>
          <w:szCs w:val="22"/>
          <w:lang w:val="en-GB" w:eastAsia="en-GB"/>
        </w:rPr>
      </w:pPr>
      <w:r w:rsidRPr="003F3C66">
        <w:rPr>
          <w:rFonts w:eastAsia="Times New Roman" w:cs="Helvetica"/>
          <w:b/>
          <w:color w:val="333333"/>
          <w:sz w:val="22"/>
          <w:szCs w:val="22"/>
          <w:lang w:val="en-GB" w:eastAsia="en-GB"/>
        </w:rPr>
        <w:t>4 Fed are keen to discuss how we could collaborate to provide a strong GP voice – as the CCGs start to work more closely.</w:t>
      </w:r>
    </w:p>
    <w:p w:rsidR="00551071" w:rsidRDefault="00551071" w:rsidP="008767FE">
      <w:pPr>
        <w:pStyle w:val="ListParagraph"/>
        <w:widowControl w:val="0"/>
        <w:tabs>
          <w:tab w:val="left" w:pos="220"/>
          <w:tab w:val="left" w:pos="720"/>
        </w:tabs>
        <w:autoSpaceDE w:val="0"/>
        <w:autoSpaceDN w:val="0"/>
        <w:adjustRightInd w:val="0"/>
        <w:ind w:left="220"/>
        <w:rPr>
          <w:rFonts w:eastAsia="Times New Roman" w:cs="Helvetica"/>
          <w:color w:val="333333"/>
          <w:sz w:val="22"/>
          <w:szCs w:val="22"/>
          <w:lang w:val="en-GB" w:eastAsia="en-GB"/>
        </w:rPr>
      </w:pPr>
    </w:p>
    <w:p w:rsidR="003F3C66" w:rsidRDefault="003F3C66" w:rsidP="008767FE">
      <w:pPr>
        <w:pStyle w:val="ListParagraph"/>
        <w:widowControl w:val="0"/>
        <w:tabs>
          <w:tab w:val="left" w:pos="220"/>
          <w:tab w:val="left" w:pos="720"/>
        </w:tabs>
        <w:autoSpaceDE w:val="0"/>
        <w:autoSpaceDN w:val="0"/>
        <w:adjustRightInd w:val="0"/>
        <w:ind w:left="220"/>
        <w:rPr>
          <w:rFonts w:eastAsia="Times New Roman" w:cs="Helvetica"/>
          <w:color w:val="333333"/>
          <w:sz w:val="22"/>
          <w:szCs w:val="22"/>
          <w:lang w:val="en-GB" w:eastAsia="en-GB"/>
        </w:rPr>
      </w:pPr>
    </w:p>
    <w:p w:rsidR="008767FE" w:rsidRDefault="008767FE" w:rsidP="00993498">
      <w:pPr>
        <w:pStyle w:val="ListParagraph"/>
        <w:numPr>
          <w:ilvl w:val="0"/>
          <w:numId w:val="1"/>
        </w:numPr>
        <w:spacing w:line="276" w:lineRule="auto"/>
        <w:rPr>
          <w:rFonts w:cs="Arial"/>
          <w:b/>
          <w:sz w:val="22"/>
          <w:szCs w:val="22"/>
          <w:lang w:val="en-GB"/>
        </w:rPr>
      </w:pPr>
      <w:r w:rsidRPr="008767FE">
        <w:rPr>
          <w:rFonts w:cs="Arial"/>
          <w:b/>
          <w:sz w:val="22"/>
          <w:szCs w:val="22"/>
          <w:lang w:val="en-GB"/>
        </w:rPr>
        <w:t>Localities &amp; transformation fund update</w:t>
      </w:r>
    </w:p>
    <w:p w:rsidR="0053146A" w:rsidRDefault="004214AD" w:rsidP="009A5767">
      <w:pPr>
        <w:pStyle w:val="ListParagraph"/>
        <w:spacing w:line="276" w:lineRule="auto"/>
        <w:ind w:left="360"/>
        <w:rPr>
          <w:rFonts w:cs="Arial"/>
          <w:sz w:val="22"/>
          <w:szCs w:val="22"/>
          <w:lang w:val="en-GB"/>
        </w:rPr>
      </w:pPr>
      <w:r w:rsidRPr="0053146A">
        <w:rPr>
          <w:rFonts w:cs="Arial"/>
          <w:sz w:val="22"/>
          <w:szCs w:val="22"/>
          <w:lang w:val="en-GB"/>
        </w:rPr>
        <w:t>JW has been working with the six Localities to develop th</w:t>
      </w:r>
      <w:r w:rsidR="009A5767">
        <w:rPr>
          <w:rFonts w:cs="Arial"/>
          <w:sz w:val="22"/>
          <w:szCs w:val="22"/>
          <w:lang w:val="en-GB"/>
        </w:rPr>
        <w:t xml:space="preserve">eir transformation applications.  An overview of the areas that the Localities </w:t>
      </w:r>
      <w:r w:rsidR="00CB3982">
        <w:rPr>
          <w:rFonts w:cs="Arial"/>
          <w:sz w:val="22"/>
          <w:szCs w:val="22"/>
          <w:lang w:val="en-GB"/>
        </w:rPr>
        <w:t>are working on is</w:t>
      </w:r>
      <w:r w:rsidR="009A5767">
        <w:rPr>
          <w:rFonts w:cs="Arial"/>
          <w:sz w:val="22"/>
          <w:szCs w:val="22"/>
          <w:lang w:val="en-GB"/>
        </w:rPr>
        <w:t xml:space="preserve"> listed below.</w:t>
      </w:r>
    </w:p>
    <w:p w:rsidR="009A5767" w:rsidRDefault="009A5767" w:rsidP="009A5767">
      <w:pPr>
        <w:pStyle w:val="ListParagraph"/>
        <w:spacing w:line="276" w:lineRule="auto"/>
        <w:ind w:left="360"/>
        <w:rPr>
          <w:rFonts w:cs="Arial"/>
          <w:b/>
          <w:sz w:val="22"/>
          <w:szCs w:val="22"/>
        </w:rPr>
      </w:pPr>
    </w:p>
    <w:p w:rsidR="00BE4AB7" w:rsidRPr="007B0AC4" w:rsidRDefault="00BE4AB7" w:rsidP="00BE4AB7">
      <w:pPr>
        <w:ind w:left="360"/>
        <w:rPr>
          <w:rFonts w:cs="Arial"/>
          <w:sz w:val="22"/>
          <w:szCs w:val="22"/>
        </w:rPr>
      </w:pPr>
      <w:r w:rsidRPr="007B0AC4">
        <w:rPr>
          <w:rFonts w:cs="Arial"/>
          <w:b/>
          <w:sz w:val="22"/>
          <w:szCs w:val="22"/>
        </w:rPr>
        <w:t>Oadby &amp; Wigston</w:t>
      </w:r>
      <w:r w:rsidRPr="007B0AC4">
        <w:rPr>
          <w:rFonts w:cs="Arial"/>
          <w:sz w:val="22"/>
          <w:szCs w:val="22"/>
        </w:rPr>
        <w:t xml:space="preserve"> (Wigston Central, Bushloe, South Wigston, Central, Croft, Severn, Rosemead)</w:t>
      </w:r>
    </w:p>
    <w:p w:rsidR="00252807" w:rsidRDefault="00252807" w:rsidP="00252807">
      <w:pPr>
        <w:numPr>
          <w:ilvl w:val="0"/>
          <w:numId w:val="35"/>
        </w:numPr>
        <w:spacing w:after="200" w:line="276" w:lineRule="auto"/>
        <w:contextualSpacing/>
        <w:rPr>
          <w:rFonts w:eastAsiaTheme="minorHAnsi"/>
          <w:sz w:val="22"/>
          <w:szCs w:val="22"/>
          <w:lang w:val="en-GB"/>
        </w:rPr>
      </w:pPr>
      <w:r w:rsidRPr="00252807">
        <w:rPr>
          <w:rFonts w:eastAsiaTheme="minorHAnsi"/>
          <w:b/>
          <w:sz w:val="22"/>
          <w:szCs w:val="22"/>
          <w:lang w:val="en-GB"/>
        </w:rPr>
        <w:t xml:space="preserve">Extend the Locality para-medical team and share local expertise </w:t>
      </w:r>
      <w:r>
        <w:rPr>
          <w:rFonts w:eastAsiaTheme="minorHAnsi"/>
          <w:sz w:val="22"/>
          <w:szCs w:val="22"/>
          <w:lang w:val="en-GB"/>
        </w:rPr>
        <w:t>–</w:t>
      </w:r>
      <w:r w:rsidRPr="00252807">
        <w:rPr>
          <w:rFonts w:eastAsiaTheme="minorHAnsi"/>
          <w:sz w:val="22"/>
          <w:szCs w:val="22"/>
          <w:lang w:val="en-GB"/>
        </w:rPr>
        <w:t xml:space="preserve"> </w:t>
      </w:r>
    </w:p>
    <w:p w:rsidR="00252807" w:rsidRPr="00252807" w:rsidRDefault="00252807" w:rsidP="00252807">
      <w:pPr>
        <w:numPr>
          <w:ilvl w:val="0"/>
          <w:numId w:val="35"/>
        </w:numPr>
        <w:spacing w:after="200" w:line="276" w:lineRule="auto"/>
        <w:contextualSpacing/>
        <w:rPr>
          <w:rFonts w:eastAsiaTheme="minorHAnsi"/>
          <w:sz w:val="22"/>
          <w:szCs w:val="22"/>
          <w:lang w:val="en-GB"/>
        </w:rPr>
      </w:pPr>
      <w:r w:rsidRPr="00252807">
        <w:rPr>
          <w:rFonts w:eastAsiaTheme="minorHAnsi"/>
          <w:b/>
          <w:sz w:val="22"/>
          <w:szCs w:val="22"/>
          <w:lang w:val="en-GB"/>
        </w:rPr>
        <w:t>Acute access</w:t>
      </w:r>
      <w:r w:rsidRPr="00252807">
        <w:rPr>
          <w:rFonts w:eastAsiaTheme="minorHAnsi"/>
          <w:sz w:val="22"/>
          <w:szCs w:val="22"/>
          <w:lang w:val="en-GB"/>
        </w:rPr>
        <w:t xml:space="preserve"> – review our approach to Acute on the Day access for patients in Oadby and Wigston and trial new approaches.</w:t>
      </w:r>
    </w:p>
    <w:p w:rsidR="00252807" w:rsidRDefault="00252807" w:rsidP="00252807">
      <w:pPr>
        <w:numPr>
          <w:ilvl w:val="0"/>
          <w:numId w:val="35"/>
        </w:numPr>
        <w:spacing w:after="200" w:line="276" w:lineRule="auto"/>
        <w:contextualSpacing/>
        <w:rPr>
          <w:rFonts w:eastAsiaTheme="minorHAnsi"/>
          <w:sz w:val="22"/>
          <w:szCs w:val="22"/>
          <w:lang w:val="en-GB"/>
        </w:rPr>
      </w:pPr>
      <w:r w:rsidRPr="00252807">
        <w:rPr>
          <w:rFonts w:eastAsiaTheme="minorHAnsi"/>
          <w:b/>
          <w:sz w:val="22"/>
          <w:szCs w:val="22"/>
          <w:lang w:val="en-GB"/>
        </w:rPr>
        <w:t>Demonstrating GP at scale through formal changes to working arrangements</w:t>
      </w:r>
      <w:r w:rsidRPr="00252807">
        <w:rPr>
          <w:rFonts w:eastAsiaTheme="minorHAnsi"/>
          <w:sz w:val="22"/>
          <w:szCs w:val="22"/>
          <w:lang w:val="en-GB"/>
        </w:rPr>
        <w:t xml:space="preserve"> in </w:t>
      </w:r>
      <w:r w:rsidRPr="00252807">
        <w:rPr>
          <w:rFonts w:eastAsiaTheme="minorHAnsi"/>
          <w:sz w:val="22"/>
          <w:szCs w:val="22"/>
          <w:lang w:val="en-GB"/>
        </w:rPr>
        <w:t>t</w:t>
      </w:r>
      <w:r>
        <w:rPr>
          <w:rFonts w:eastAsiaTheme="minorHAnsi"/>
          <w:sz w:val="22"/>
          <w:szCs w:val="22"/>
          <w:lang w:val="en-GB"/>
        </w:rPr>
        <w:t xml:space="preserve">wo practices </w:t>
      </w:r>
    </w:p>
    <w:p w:rsidR="00BE4AB7" w:rsidRPr="00252807" w:rsidRDefault="00252807" w:rsidP="00252807">
      <w:pPr>
        <w:numPr>
          <w:ilvl w:val="0"/>
          <w:numId w:val="35"/>
        </w:numPr>
        <w:spacing w:after="200" w:line="276" w:lineRule="auto"/>
        <w:contextualSpacing/>
        <w:rPr>
          <w:rFonts w:cs="Arial"/>
          <w:sz w:val="22"/>
          <w:szCs w:val="22"/>
        </w:rPr>
      </w:pPr>
      <w:r w:rsidRPr="00252807">
        <w:rPr>
          <w:rFonts w:eastAsiaTheme="minorHAnsi"/>
          <w:b/>
          <w:sz w:val="22"/>
          <w:szCs w:val="22"/>
          <w:lang w:val="en-GB"/>
        </w:rPr>
        <w:t xml:space="preserve">Social prescribing and integrating with community-based services to support disease prevention </w:t>
      </w:r>
      <w:r>
        <w:rPr>
          <w:rFonts w:eastAsiaTheme="minorHAnsi"/>
          <w:sz w:val="22"/>
          <w:szCs w:val="22"/>
          <w:lang w:val="en-GB"/>
        </w:rPr>
        <w:t xml:space="preserve"> </w:t>
      </w:r>
    </w:p>
    <w:p w:rsidR="00252807" w:rsidRDefault="00252807" w:rsidP="00BE4AB7">
      <w:pPr>
        <w:ind w:left="360"/>
        <w:rPr>
          <w:rFonts w:cs="Arial"/>
          <w:b/>
          <w:sz w:val="22"/>
          <w:szCs w:val="22"/>
        </w:rPr>
      </w:pPr>
    </w:p>
    <w:p w:rsidR="00BE4AB7" w:rsidRPr="007B0AC4" w:rsidRDefault="00BE4AB7" w:rsidP="00BE4AB7">
      <w:pPr>
        <w:ind w:left="360"/>
        <w:rPr>
          <w:rFonts w:cs="Arial"/>
          <w:sz w:val="22"/>
          <w:szCs w:val="22"/>
        </w:rPr>
      </w:pPr>
      <w:r w:rsidRPr="007B0AC4">
        <w:rPr>
          <w:rFonts w:cs="Arial"/>
          <w:b/>
          <w:sz w:val="22"/>
          <w:szCs w:val="22"/>
        </w:rPr>
        <w:t xml:space="preserve">North Blaby </w:t>
      </w:r>
      <w:r w:rsidRPr="007B0AC4">
        <w:rPr>
          <w:rFonts w:cs="Arial"/>
          <w:sz w:val="22"/>
          <w:szCs w:val="22"/>
        </w:rPr>
        <w:t>(Kingsway, Glenfield, Limes. Forest House, Enderby)</w:t>
      </w:r>
    </w:p>
    <w:p w:rsidR="006057B3" w:rsidRDefault="006057B3" w:rsidP="006057B3">
      <w:pPr>
        <w:numPr>
          <w:ilvl w:val="0"/>
          <w:numId w:val="37"/>
        </w:numPr>
        <w:spacing w:after="200" w:line="276" w:lineRule="auto"/>
        <w:contextualSpacing/>
        <w:rPr>
          <w:rFonts w:eastAsiaTheme="minorHAnsi"/>
          <w:sz w:val="22"/>
          <w:szCs w:val="22"/>
          <w:lang w:val="en-GB"/>
        </w:rPr>
      </w:pPr>
      <w:r w:rsidRPr="006057B3">
        <w:rPr>
          <w:rFonts w:eastAsiaTheme="minorHAnsi"/>
          <w:sz w:val="22"/>
          <w:szCs w:val="22"/>
          <w:lang w:val="en-GB"/>
        </w:rPr>
        <w:t xml:space="preserve">Transform and re-design the way that they make use of para-medical staff to improve access for patients and reduce the demands on GPs, </w:t>
      </w:r>
    </w:p>
    <w:p w:rsidR="006057B3" w:rsidRPr="006057B3" w:rsidRDefault="006057B3" w:rsidP="006057B3">
      <w:pPr>
        <w:numPr>
          <w:ilvl w:val="0"/>
          <w:numId w:val="37"/>
        </w:numPr>
        <w:spacing w:after="200" w:line="276" w:lineRule="auto"/>
        <w:contextualSpacing/>
        <w:rPr>
          <w:rFonts w:eastAsiaTheme="minorHAnsi"/>
          <w:sz w:val="22"/>
          <w:szCs w:val="22"/>
          <w:lang w:val="en-GB"/>
        </w:rPr>
      </w:pPr>
      <w:r w:rsidRPr="006057B3">
        <w:rPr>
          <w:rFonts w:eastAsiaTheme="minorHAnsi"/>
          <w:sz w:val="22"/>
          <w:szCs w:val="22"/>
          <w:lang w:val="en-GB"/>
        </w:rPr>
        <w:lastRenderedPageBreak/>
        <w:t>Collaborate with the Blaby District Council, LPT, Social Care and Voluntary Sector teams to ensure that the primary and community care offer to the North Blaby residents is streamlined and integrated and that our ‘community assets’ are effectively used through social prescribing.</w:t>
      </w:r>
    </w:p>
    <w:p w:rsidR="006057B3" w:rsidRPr="006057B3" w:rsidRDefault="006057B3" w:rsidP="006057B3">
      <w:pPr>
        <w:numPr>
          <w:ilvl w:val="0"/>
          <w:numId w:val="37"/>
        </w:numPr>
        <w:spacing w:after="200" w:line="276" w:lineRule="auto"/>
        <w:contextualSpacing/>
        <w:rPr>
          <w:rFonts w:eastAsiaTheme="minorHAnsi"/>
          <w:sz w:val="22"/>
          <w:szCs w:val="22"/>
          <w:lang w:val="en-GB"/>
        </w:rPr>
      </w:pPr>
      <w:r w:rsidRPr="006057B3">
        <w:rPr>
          <w:rFonts w:eastAsiaTheme="minorHAnsi"/>
          <w:sz w:val="22"/>
          <w:szCs w:val="22"/>
          <w:lang w:val="en-GB"/>
        </w:rPr>
        <w:t>Develop closer back office links between the practices with an emphasis of harmonising processes, where appropriate and possible, to greater enable integrated working.</w:t>
      </w:r>
    </w:p>
    <w:p w:rsidR="006057B3" w:rsidRPr="006057B3" w:rsidRDefault="006057B3" w:rsidP="006057B3">
      <w:pPr>
        <w:numPr>
          <w:ilvl w:val="0"/>
          <w:numId w:val="37"/>
        </w:numPr>
        <w:spacing w:after="200" w:line="276" w:lineRule="auto"/>
        <w:contextualSpacing/>
        <w:rPr>
          <w:rFonts w:eastAsiaTheme="minorHAnsi"/>
          <w:sz w:val="22"/>
          <w:szCs w:val="22"/>
          <w:lang w:val="en-GB"/>
        </w:rPr>
      </w:pPr>
      <w:r w:rsidRPr="006057B3">
        <w:rPr>
          <w:rFonts w:eastAsiaTheme="minorHAnsi"/>
          <w:sz w:val="22"/>
          <w:szCs w:val="22"/>
          <w:lang w:val="en-GB"/>
        </w:rPr>
        <w:t>Investigate the potential of developing a Locality Visiting Service to meet the needs of housebound patients who do not meet the LLR Acute Visiting Service criteria.</w:t>
      </w:r>
    </w:p>
    <w:p w:rsidR="006057B3" w:rsidRPr="006057B3" w:rsidRDefault="006057B3" w:rsidP="006057B3">
      <w:pPr>
        <w:numPr>
          <w:ilvl w:val="0"/>
          <w:numId w:val="37"/>
        </w:numPr>
        <w:spacing w:after="200" w:line="276" w:lineRule="auto"/>
        <w:contextualSpacing/>
        <w:rPr>
          <w:rFonts w:eastAsiaTheme="minorHAnsi"/>
          <w:sz w:val="22"/>
          <w:szCs w:val="22"/>
          <w:lang w:val="en-GB"/>
        </w:rPr>
      </w:pPr>
      <w:r w:rsidRPr="006057B3">
        <w:rPr>
          <w:rFonts w:eastAsiaTheme="minorHAnsi"/>
          <w:sz w:val="22"/>
          <w:szCs w:val="22"/>
          <w:lang w:val="en-GB"/>
        </w:rPr>
        <w:t>Start to look at ways of delivering in-hours urgent care collaboratively.</w:t>
      </w:r>
    </w:p>
    <w:p w:rsidR="00BE4AB7" w:rsidRPr="007B0AC4" w:rsidRDefault="00BE4AB7" w:rsidP="00BE4AB7">
      <w:pPr>
        <w:ind w:left="360"/>
        <w:rPr>
          <w:rFonts w:cs="Arial"/>
          <w:b/>
          <w:sz w:val="22"/>
          <w:szCs w:val="22"/>
        </w:rPr>
      </w:pPr>
    </w:p>
    <w:p w:rsidR="00BE4AB7" w:rsidRPr="007B0AC4" w:rsidRDefault="00BE4AB7" w:rsidP="00BE4AB7">
      <w:pPr>
        <w:ind w:left="360"/>
        <w:rPr>
          <w:rFonts w:cs="Arial"/>
          <w:sz w:val="22"/>
          <w:szCs w:val="22"/>
        </w:rPr>
      </w:pPr>
      <w:r w:rsidRPr="007B0AC4">
        <w:rPr>
          <w:rFonts w:cs="Arial"/>
          <w:b/>
          <w:sz w:val="22"/>
          <w:szCs w:val="22"/>
        </w:rPr>
        <w:t>South Blaby &amp; Lutterworth</w:t>
      </w:r>
      <w:r w:rsidRPr="007B0AC4">
        <w:rPr>
          <w:rFonts w:cs="Arial"/>
          <w:sz w:val="22"/>
          <w:szCs w:val="22"/>
        </w:rPr>
        <w:t xml:space="preserve"> (Northfield, Wycliffe, Masharani, Hazelmere, Countesthorpe)</w:t>
      </w:r>
    </w:p>
    <w:p w:rsidR="00653D86" w:rsidRPr="00653D86" w:rsidRDefault="00653D86" w:rsidP="00653D86">
      <w:pPr>
        <w:widowControl w:val="0"/>
        <w:numPr>
          <w:ilvl w:val="0"/>
          <w:numId w:val="38"/>
        </w:numPr>
        <w:overflowPunct w:val="0"/>
        <w:autoSpaceDE w:val="0"/>
        <w:autoSpaceDN w:val="0"/>
        <w:adjustRightInd w:val="0"/>
        <w:spacing w:line="276" w:lineRule="auto"/>
        <w:ind w:left="714" w:hanging="357"/>
        <w:jc w:val="both"/>
        <w:textAlignment w:val="baseline"/>
        <w:rPr>
          <w:rFonts w:ascii="Calibri" w:eastAsia="Times New Roman" w:hAnsi="Calibri" w:cs="Arial"/>
          <w:sz w:val="22"/>
          <w:szCs w:val="22"/>
          <w:lang w:eastAsia="en-GB"/>
        </w:rPr>
      </w:pPr>
      <w:r w:rsidRPr="00653D86">
        <w:rPr>
          <w:rFonts w:ascii="Calibri" w:eastAsia="Times New Roman" w:hAnsi="Calibri" w:cs="Arial"/>
          <w:b/>
          <w:sz w:val="22"/>
          <w:szCs w:val="22"/>
          <w:lang w:eastAsia="en-GB"/>
        </w:rPr>
        <w:t>Quality improvement and sharing of specialist skills</w:t>
      </w:r>
      <w:r w:rsidRPr="00653D86">
        <w:rPr>
          <w:rFonts w:ascii="Calibri" w:eastAsia="Times New Roman" w:hAnsi="Calibri" w:cs="Arial"/>
          <w:sz w:val="22"/>
          <w:szCs w:val="22"/>
          <w:lang w:eastAsia="en-GB"/>
        </w:rPr>
        <w:t xml:space="preserve"> – build on the Hub’s collaborative peer review work to effectively utilize the ‘intelligence packs’ information to identify learning needs and share best practice on key topics to improve the quality of patient care and outcomes.  </w:t>
      </w:r>
    </w:p>
    <w:p w:rsidR="00653D86" w:rsidRPr="00653D86" w:rsidRDefault="00653D86" w:rsidP="00653D86">
      <w:pPr>
        <w:numPr>
          <w:ilvl w:val="0"/>
          <w:numId w:val="38"/>
        </w:numPr>
        <w:spacing w:line="276" w:lineRule="auto"/>
        <w:ind w:left="714" w:hanging="357"/>
        <w:contextualSpacing/>
        <w:rPr>
          <w:rFonts w:eastAsiaTheme="minorHAnsi"/>
          <w:sz w:val="22"/>
          <w:szCs w:val="22"/>
          <w:lang w:val="en-GB"/>
        </w:rPr>
      </w:pPr>
      <w:r w:rsidRPr="00653D86">
        <w:rPr>
          <w:rFonts w:eastAsiaTheme="minorHAnsi"/>
          <w:b/>
          <w:sz w:val="22"/>
          <w:szCs w:val="22"/>
          <w:lang w:val="en-GB"/>
        </w:rPr>
        <w:t>Acute access</w:t>
      </w:r>
      <w:r w:rsidRPr="00653D86">
        <w:rPr>
          <w:rFonts w:eastAsiaTheme="minorHAnsi"/>
          <w:sz w:val="22"/>
          <w:szCs w:val="22"/>
          <w:lang w:val="en-GB"/>
        </w:rPr>
        <w:t xml:space="preserve"> – investigate how to transform the approach to Acute on the Day access for patients in South Blaby and Lutterworth, respectively.</w:t>
      </w:r>
    </w:p>
    <w:p w:rsidR="00653D86" w:rsidRPr="00653D86" w:rsidRDefault="00653D86" w:rsidP="00653D86">
      <w:pPr>
        <w:numPr>
          <w:ilvl w:val="0"/>
          <w:numId w:val="38"/>
        </w:numPr>
        <w:spacing w:after="200" w:line="276" w:lineRule="auto"/>
        <w:contextualSpacing/>
        <w:rPr>
          <w:rFonts w:eastAsiaTheme="minorHAnsi"/>
          <w:sz w:val="22"/>
          <w:szCs w:val="22"/>
          <w:lang w:val="en-GB"/>
        </w:rPr>
      </w:pPr>
      <w:r w:rsidRPr="00653D86">
        <w:rPr>
          <w:rFonts w:eastAsiaTheme="minorHAnsi"/>
          <w:b/>
          <w:sz w:val="22"/>
          <w:szCs w:val="22"/>
          <w:lang w:val="en-GB"/>
        </w:rPr>
        <w:t>Patient communications</w:t>
      </w:r>
      <w:r w:rsidRPr="00653D86">
        <w:rPr>
          <w:rFonts w:eastAsiaTheme="minorHAnsi"/>
          <w:sz w:val="22"/>
          <w:szCs w:val="22"/>
          <w:lang w:val="en-GB"/>
        </w:rPr>
        <w:t xml:space="preserve"> - develop a collaborative approach to harness web, digital and social channels to improve its communications and engagement with patients and the wider community. </w:t>
      </w:r>
      <w:r w:rsidRPr="00653D86">
        <w:rPr>
          <w:rFonts w:ascii="Calibri" w:eastAsia="Times New Roman" w:hAnsi="Calibri" w:cs="Arial"/>
          <w:sz w:val="22"/>
          <w:szCs w:val="22"/>
          <w:lang w:eastAsia="en-GB"/>
        </w:rPr>
        <w:t xml:space="preserve"> This will support the active signposting agenda.</w:t>
      </w:r>
    </w:p>
    <w:p w:rsidR="00653D86" w:rsidRDefault="00653D86" w:rsidP="00653D86">
      <w:pPr>
        <w:numPr>
          <w:ilvl w:val="0"/>
          <w:numId w:val="38"/>
        </w:numPr>
        <w:spacing w:after="200" w:line="276" w:lineRule="auto"/>
        <w:contextualSpacing/>
        <w:rPr>
          <w:rFonts w:eastAsiaTheme="minorHAnsi"/>
          <w:sz w:val="22"/>
          <w:szCs w:val="22"/>
          <w:lang w:val="en-GB"/>
        </w:rPr>
      </w:pPr>
      <w:r w:rsidRPr="00653D86">
        <w:rPr>
          <w:rFonts w:eastAsiaTheme="minorHAnsi"/>
          <w:b/>
          <w:sz w:val="22"/>
          <w:szCs w:val="22"/>
          <w:lang w:val="en-GB"/>
        </w:rPr>
        <w:t xml:space="preserve">Care navigation and integration with community based services to support disease prevention </w:t>
      </w:r>
      <w:r w:rsidRPr="00653D86">
        <w:rPr>
          <w:rFonts w:eastAsiaTheme="minorHAnsi"/>
          <w:sz w:val="22"/>
          <w:szCs w:val="22"/>
          <w:lang w:val="en-GB"/>
        </w:rPr>
        <w:t xml:space="preserve"> - collaborate with Blaby District and Harborough Councils, LPT, Social Care and Voluntary Sector teams to develop a Locality Plan to deliver an integrated primary and community care offer for the residents of South Blaby &amp; Lutterworth.  We will ensure that the Locality’s ‘community assets’ are effectively used through effective care navigation, social prescribing and use of First Contact Plus.</w:t>
      </w:r>
    </w:p>
    <w:p w:rsidR="00653D86" w:rsidRPr="00653D86" w:rsidRDefault="00653D86" w:rsidP="00653D86">
      <w:pPr>
        <w:spacing w:after="200" w:line="276" w:lineRule="auto"/>
        <w:ind w:left="720"/>
        <w:contextualSpacing/>
        <w:rPr>
          <w:rFonts w:eastAsiaTheme="minorHAnsi"/>
          <w:sz w:val="22"/>
          <w:szCs w:val="22"/>
          <w:lang w:val="en-GB"/>
        </w:rPr>
      </w:pPr>
    </w:p>
    <w:p w:rsidR="00BE4AB7" w:rsidRPr="007B0AC4" w:rsidRDefault="00BE4AB7" w:rsidP="00BE4AB7">
      <w:pPr>
        <w:tabs>
          <w:tab w:val="left" w:pos="6748"/>
        </w:tabs>
        <w:ind w:left="360"/>
        <w:rPr>
          <w:rFonts w:cs="Arial"/>
          <w:sz w:val="22"/>
          <w:szCs w:val="22"/>
        </w:rPr>
      </w:pPr>
      <w:r w:rsidRPr="007B0AC4">
        <w:rPr>
          <w:rFonts w:cs="Arial"/>
          <w:b/>
          <w:sz w:val="22"/>
          <w:szCs w:val="22"/>
        </w:rPr>
        <w:t xml:space="preserve">SLAM </w:t>
      </w:r>
      <w:r w:rsidRPr="007B0AC4">
        <w:rPr>
          <w:rFonts w:cs="Arial"/>
          <w:sz w:val="22"/>
          <w:szCs w:val="22"/>
        </w:rPr>
        <w:t>(Melton, County, Jubilee, Long Clawson)</w:t>
      </w:r>
    </w:p>
    <w:p w:rsidR="007C2ACC" w:rsidRPr="007C2ACC" w:rsidRDefault="007C2ACC" w:rsidP="007C2ACC">
      <w:pPr>
        <w:numPr>
          <w:ilvl w:val="0"/>
          <w:numId w:val="40"/>
        </w:numPr>
        <w:spacing w:after="200" w:line="276" w:lineRule="auto"/>
        <w:contextualSpacing/>
        <w:rPr>
          <w:rFonts w:eastAsiaTheme="minorHAnsi"/>
          <w:b/>
          <w:sz w:val="22"/>
          <w:szCs w:val="22"/>
          <w:u w:val="single"/>
          <w:lang w:val="en-GB"/>
        </w:rPr>
      </w:pPr>
      <w:r w:rsidRPr="007C2ACC">
        <w:rPr>
          <w:rFonts w:eastAsiaTheme="minorHAnsi"/>
          <w:b/>
          <w:sz w:val="22"/>
          <w:szCs w:val="22"/>
          <w:u w:val="single"/>
          <w:lang w:val="en-GB"/>
        </w:rPr>
        <w:t>Workload</w:t>
      </w:r>
      <w:r w:rsidRPr="007C2ACC">
        <w:rPr>
          <w:rFonts w:eastAsiaTheme="minorHAnsi"/>
          <w:b/>
          <w:sz w:val="22"/>
          <w:szCs w:val="22"/>
          <w:lang w:val="en-GB"/>
        </w:rPr>
        <w:t xml:space="preserve"> </w:t>
      </w:r>
      <w:r w:rsidRPr="007C2ACC">
        <w:rPr>
          <w:rFonts w:eastAsiaTheme="minorHAnsi"/>
          <w:sz w:val="22"/>
          <w:szCs w:val="22"/>
          <w:lang w:val="en-GB"/>
        </w:rPr>
        <w:t xml:space="preserve">- we will reduce the burden on GPs and release GP time by developing our approach to </w:t>
      </w:r>
      <w:r w:rsidRPr="007C2ACC">
        <w:rPr>
          <w:rFonts w:eastAsiaTheme="minorHAnsi"/>
          <w:bCs/>
          <w:sz w:val="22"/>
          <w:szCs w:val="22"/>
          <w:lang w:val="en-GB"/>
        </w:rPr>
        <w:t>active signposting, patient communications and social prescribing</w:t>
      </w:r>
      <w:r w:rsidRPr="007C2ACC">
        <w:rPr>
          <w:rFonts w:eastAsiaTheme="minorHAnsi"/>
          <w:b/>
          <w:bCs/>
          <w:sz w:val="22"/>
          <w:szCs w:val="22"/>
          <w:lang w:val="en-GB"/>
        </w:rPr>
        <w:t xml:space="preserve"> </w:t>
      </w:r>
      <w:r w:rsidRPr="007C2ACC">
        <w:rPr>
          <w:rFonts w:eastAsiaTheme="minorHAnsi"/>
          <w:sz w:val="22"/>
          <w:szCs w:val="22"/>
          <w:lang w:val="en-GB"/>
        </w:rPr>
        <w:t xml:space="preserve"> -  developing a collaborative approach to signposting patients across the Locality.  </w:t>
      </w:r>
    </w:p>
    <w:p w:rsidR="007C2ACC" w:rsidRPr="007C2ACC" w:rsidRDefault="007C2ACC" w:rsidP="007C2ACC">
      <w:pPr>
        <w:numPr>
          <w:ilvl w:val="0"/>
          <w:numId w:val="40"/>
        </w:numPr>
        <w:spacing w:after="200" w:line="276" w:lineRule="auto"/>
        <w:contextualSpacing/>
        <w:rPr>
          <w:rFonts w:eastAsiaTheme="minorHAnsi"/>
          <w:sz w:val="22"/>
          <w:szCs w:val="22"/>
          <w:lang w:val="en-GB"/>
        </w:rPr>
      </w:pPr>
      <w:r w:rsidRPr="007C2ACC">
        <w:rPr>
          <w:rFonts w:eastAsiaTheme="minorHAnsi"/>
          <w:b/>
          <w:sz w:val="22"/>
          <w:szCs w:val="22"/>
          <w:u w:val="single"/>
        </w:rPr>
        <w:t xml:space="preserve">Care Redesign </w:t>
      </w:r>
      <w:r w:rsidRPr="007C2ACC">
        <w:rPr>
          <w:rFonts w:eastAsiaTheme="minorHAnsi"/>
          <w:b/>
          <w:sz w:val="22"/>
          <w:szCs w:val="22"/>
        </w:rPr>
        <w:t xml:space="preserve"> - w</w:t>
      </w:r>
      <w:r w:rsidRPr="007C2ACC">
        <w:rPr>
          <w:rFonts w:eastAsiaTheme="minorHAnsi"/>
          <w:sz w:val="22"/>
          <w:szCs w:val="22"/>
        </w:rPr>
        <w:t>e will implement a programme of improvement support to practices</w:t>
      </w:r>
      <w:r w:rsidRPr="007C2ACC">
        <w:rPr>
          <w:rFonts w:eastAsiaTheme="minorHAnsi"/>
          <w:sz w:val="22"/>
          <w:szCs w:val="22"/>
        </w:rPr>
        <w:t xml:space="preserve"> including  </w:t>
      </w:r>
      <w:r w:rsidRPr="007C2ACC">
        <w:rPr>
          <w:rFonts w:eastAsiaTheme="minorHAnsi"/>
          <w:b/>
          <w:bCs/>
          <w:sz w:val="22"/>
          <w:szCs w:val="22"/>
          <w:lang w:val="en-GB"/>
        </w:rPr>
        <w:t xml:space="preserve">Dementia MDT </w:t>
      </w:r>
      <w:r w:rsidRPr="007C2ACC">
        <w:rPr>
          <w:rFonts w:eastAsiaTheme="minorHAnsi"/>
          <w:b/>
          <w:bCs/>
          <w:sz w:val="22"/>
          <w:szCs w:val="22"/>
          <w:lang w:val="en-GB"/>
        </w:rPr>
        <w:t xml:space="preserve">and </w:t>
      </w:r>
      <w:r w:rsidRPr="007C2ACC">
        <w:rPr>
          <w:rFonts w:eastAsiaTheme="minorHAnsi"/>
          <w:b/>
          <w:bCs/>
          <w:sz w:val="22"/>
          <w:szCs w:val="22"/>
          <w:lang w:val="en-GB"/>
        </w:rPr>
        <w:t xml:space="preserve">Integrating with community based services  - </w:t>
      </w:r>
    </w:p>
    <w:p w:rsidR="007C2ACC" w:rsidRPr="007C2ACC" w:rsidRDefault="007C2ACC" w:rsidP="007C2ACC">
      <w:pPr>
        <w:numPr>
          <w:ilvl w:val="0"/>
          <w:numId w:val="40"/>
        </w:numPr>
        <w:spacing w:after="200" w:line="276" w:lineRule="auto"/>
        <w:contextualSpacing/>
        <w:rPr>
          <w:rFonts w:eastAsiaTheme="minorHAnsi"/>
          <w:sz w:val="22"/>
          <w:szCs w:val="22"/>
          <w:lang w:val="en-GB"/>
        </w:rPr>
      </w:pPr>
      <w:r w:rsidRPr="007C2ACC">
        <w:rPr>
          <w:rFonts w:eastAsiaTheme="minorHAnsi"/>
          <w:b/>
          <w:bCs/>
          <w:sz w:val="22"/>
          <w:szCs w:val="22"/>
          <w:u w:val="single"/>
          <w:lang w:val="en-GB"/>
        </w:rPr>
        <w:t>SLAM High Quality Forum</w:t>
      </w:r>
      <w:r w:rsidRPr="007C2ACC">
        <w:rPr>
          <w:rFonts w:eastAsiaTheme="minorHAnsi"/>
          <w:sz w:val="22"/>
          <w:szCs w:val="22"/>
          <w:lang w:eastAsia="en-GB"/>
        </w:rPr>
        <w:t xml:space="preserve"> - utilizing recognized data sources listed below to benchmark and identify areas of strength and weakness to allow a collaborative approach to utilizing and sharing the practices’ specialist knowledge when considering both demand management and driving up clinical quality.  Two areas highlighted identified as national and local priority areas include Dementia and Cardiovascular Disease. </w:t>
      </w:r>
    </w:p>
    <w:p w:rsidR="007C2ACC" w:rsidRPr="007C2ACC" w:rsidRDefault="007C2ACC" w:rsidP="007C2ACC">
      <w:pPr>
        <w:numPr>
          <w:ilvl w:val="0"/>
          <w:numId w:val="40"/>
        </w:numPr>
        <w:spacing w:after="200" w:line="276" w:lineRule="auto"/>
        <w:contextualSpacing/>
        <w:rPr>
          <w:rFonts w:eastAsiaTheme="minorHAnsi"/>
          <w:b/>
          <w:bCs/>
          <w:sz w:val="22"/>
          <w:szCs w:val="22"/>
          <w:u w:val="single"/>
          <w:lang w:val="en-GB"/>
        </w:rPr>
      </w:pPr>
      <w:r w:rsidRPr="007C2ACC">
        <w:rPr>
          <w:rFonts w:eastAsiaTheme="minorHAnsi"/>
          <w:b/>
          <w:bCs/>
          <w:sz w:val="22"/>
          <w:szCs w:val="22"/>
          <w:u w:val="single"/>
          <w:lang w:val="en-GB"/>
        </w:rPr>
        <w:t>Acute Access</w:t>
      </w:r>
      <w:r w:rsidRPr="007C2ACC">
        <w:rPr>
          <w:rFonts w:eastAsiaTheme="minorHAnsi"/>
          <w:bCs/>
          <w:sz w:val="22"/>
          <w:szCs w:val="22"/>
          <w:lang w:val="en-GB"/>
        </w:rPr>
        <w:t xml:space="preserve"> - all practices within the SLAM locality share similar ideologies on access to primary care.  Each practice runs an acute access clinic every morning with a “walk in” component for on the day access.  It is proposed that the governance, workforce development and communications strategy is jointly developed and aligned to meet the service framework expected for the ELR CCG Acute Access specification.  This will enable  practices to offer services jointly when and if appropriate. </w:t>
      </w:r>
    </w:p>
    <w:p w:rsidR="007C2ACC" w:rsidRPr="007C2ACC" w:rsidRDefault="007C2ACC" w:rsidP="007C2ACC">
      <w:pPr>
        <w:numPr>
          <w:ilvl w:val="0"/>
          <w:numId w:val="40"/>
        </w:numPr>
        <w:spacing w:after="200" w:line="276" w:lineRule="auto"/>
        <w:contextualSpacing/>
        <w:rPr>
          <w:rFonts w:eastAsiaTheme="minorHAnsi"/>
          <w:sz w:val="22"/>
          <w:szCs w:val="22"/>
          <w:lang w:val="en-GB"/>
        </w:rPr>
      </w:pPr>
      <w:r w:rsidRPr="007C2ACC">
        <w:rPr>
          <w:rFonts w:eastAsiaTheme="minorHAnsi"/>
          <w:b/>
          <w:sz w:val="22"/>
          <w:szCs w:val="22"/>
          <w:u w:val="single"/>
        </w:rPr>
        <w:t>Practice Infrastructure</w:t>
      </w:r>
      <w:r w:rsidRPr="007C2ACC">
        <w:rPr>
          <w:rFonts w:eastAsiaTheme="minorHAnsi"/>
          <w:sz w:val="22"/>
          <w:szCs w:val="22"/>
        </w:rPr>
        <w:t xml:space="preserve"> - we will develop the primary care estate and invest in better technology to improve </w:t>
      </w:r>
      <w:r w:rsidRPr="007C2ACC">
        <w:rPr>
          <w:rFonts w:eastAsiaTheme="minorHAnsi"/>
          <w:b/>
          <w:bCs/>
          <w:sz w:val="22"/>
          <w:szCs w:val="22"/>
          <w:lang w:val="en-GB"/>
        </w:rPr>
        <w:t>back office resilience</w:t>
      </w:r>
      <w:r w:rsidRPr="007C2ACC">
        <w:rPr>
          <w:rFonts w:eastAsiaTheme="minorHAnsi"/>
          <w:sz w:val="22"/>
          <w:szCs w:val="22"/>
          <w:lang w:val="en-GB"/>
        </w:rPr>
        <w:t xml:space="preserve"> – including investigating extending </w:t>
      </w:r>
      <w:r w:rsidRPr="007C2ACC">
        <w:rPr>
          <w:rFonts w:eastAsiaTheme="minorHAnsi"/>
          <w:sz w:val="22"/>
          <w:szCs w:val="22"/>
        </w:rPr>
        <w:lastRenderedPageBreak/>
        <w:t xml:space="preserve">GPTeamNet/Intradoc (or similar), which is utilised by Long Clawson Medical Practice,  via a secure network to allow access from all practices within the locality.  This will allow sharing of policies, procedures, protocols and best practice relating to clinical care and CQC requirements.  </w:t>
      </w:r>
    </w:p>
    <w:p w:rsidR="007C2ACC" w:rsidRPr="007C2ACC" w:rsidRDefault="007C2ACC" w:rsidP="007C2ACC">
      <w:pPr>
        <w:numPr>
          <w:ilvl w:val="0"/>
          <w:numId w:val="40"/>
        </w:numPr>
        <w:spacing w:after="200" w:line="276" w:lineRule="auto"/>
        <w:contextualSpacing/>
        <w:rPr>
          <w:rFonts w:eastAsiaTheme="minorHAnsi"/>
          <w:bCs/>
          <w:sz w:val="22"/>
          <w:szCs w:val="22"/>
          <w:lang w:val="en-GB"/>
        </w:rPr>
      </w:pPr>
      <w:r w:rsidRPr="007C2ACC">
        <w:rPr>
          <w:rFonts w:eastAsiaTheme="minorHAnsi"/>
          <w:b/>
          <w:bCs/>
          <w:sz w:val="22"/>
          <w:szCs w:val="22"/>
          <w:u w:val="single"/>
          <w:lang w:val="en-GB"/>
        </w:rPr>
        <w:t>Workforce</w:t>
      </w:r>
      <w:r w:rsidRPr="007C2ACC">
        <w:rPr>
          <w:rFonts w:eastAsiaTheme="minorHAnsi"/>
          <w:bCs/>
          <w:sz w:val="22"/>
          <w:szCs w:val="22"/>
          <w:lang w:val="en-GB"/>
        </w:rPr>
        <w:t xml:space="preserve"> – we will develop GPs and wider primary care workforce to meet the growing demands on urgent access.   </w:t>
      </w:r>
    </w:p>
    <w:p w:rsidR="00BE4AB7" w:rsidRPr="008D677B" w:rsidRDefault="00BE4AB7" w:rsidP="00BE4AB7">
      <w:pPr>
        <w:ind w:left="1080"/>
        <w:contextualSpacing/>
        <w:rPr>
          <w:rFonts w:cs="Arial"/>
          <w:sz w:val="22"/>
          <w:szCs w:val="22"/>
        </w:rPr>
      </w:pPr>
    </w:p>
    <w:p w:rsidR="00BE4AB7" w:rsidRPr="007B0AC4" w:rsidRDefault="00BE4AB7" w:rsidP="00BE4AB7">
      <w:pPr>
        <w:ind w:left="360"/>
        <w:rPr>
          <w:rFonts w:cs="Arial"/>
          <w:b/>
          <w:sz w:val="22"/>
          <w:szCs w:val="22"/>
        </w:rPr>
      </w:pPr>
      <w:r w:rsidRPr="007B0AC4">
        <w:rPr>
          <w:rFonts w:cs="Arial"/>
          <w:b/>
          <w:sz w:val="22"/>
          <w:szCs w:val="22"/>
        </w:rPr>
        <w:t xml:space="preserve">Rutland </w:t>
      </w:r>
      <w:r w:rsidRPr="007B0AC4">
        <w:rPr>
          <w:rFonts w:cs="Arial"/>
          <w:sz w:val="22"/>
          <w:szCs w:val="22"/>
        </w:rPr>
        <w:t>(Uppingham, Oakham, Market Overton &amp; Somerby, Empingham)</w:t>
      </w:r>
    </w:p>
    <w:p w:rsidR="00852B45" w:rsidRPr="00852B45" w:rsidRDefault="00852B45" w:rsidP="00852B45">
      <w:pPr>
        <w:numPr>
          <w:ilvl w:val="0"/>
          <w:numId w:val="41"/>
        </w:numPr>
        <w:spacing w:after="200" w:line="276" w:lineRule="auto"/>
        <w:contextualSpacing/>
        <w:rPr>
          <w:rFonts w:eastAsiaTheme="minorHAnsi"/>
          <w:sz w:val="22"/>
          <w:szCs w:val="22"/>
          <w:lang w:val="en-GB"/>
        </w:rPr>
      </w:pPr>
      <w:r w:rsidRPr="00852B45">
        <w:rPr>
          <w:rFonts w:eastAsiaTheme="minorHAnsi"/>
          <w:b/>
          <w:sz w:val="22"/>
          <w:szCs w:val="22"/>
          <w:lang w:val="en-GB"/>
        </w:rPr>
        <w:t xml:space="preserve">Long term conditions development – </w:t>
      </w:r>
      <w:r w:rsidRPr="00852B45">
        <w:rPr>
          <w:rFonts w:eastAsiaTheme="minorHAnsi"/>
          <w:sz w:val="22"/>
          <w:szCs w:val="22"/>
          <w:lang w:val="en-GB"/>
        </w:rPr>
        <w:t>develop a collaborative Locality approach to the management of diabetes.</w:t>
      </w:r>
    </w:p>
    <w:p w:rsidR="00852B45" w:rsidRPr="00852B45" w:rsidRDefault="00852B45" w:rsidP="00852B45">
      <w:pPr>
        <w:numPr>
          <w:ilvl w:val="0"/>
          <w:numId w:val="41"/>
        </w:numPr>
        <w:spacing w:after="200" w:line="276" w:lineRule="auto"/>
        <w:contextualSpacing/>
        <w:rPr>
          <w:rFonts w:eastAsiaTheme="minorHAnsi"/>
          <w:b/>
          <w:sz w:val="22"/>
          <w:szCs w:val="22"/>
          <w:lang w:val="en-GB"/>
        </w:rPr>
      </w:pPr>
      <w:r w:rsidRPr="00852B45">
        <w:rPr>
          <w:rFonts w:eastAsiaTheme="minorHAnsi"/>
          <w:b/>
          <w:sz w:val="22"/>
          <w:szCs w:val="22"/>
          <w:lang w:val="en-GB"/>
        </w:rPr>
        <w:t xml:space="preserve">Access and care navigation – </w:t>
      </w:r>
      <w:r w:rsidRPr="00852B45">
        <w:rPr>
          <w:rFonts w:eastAsiaTheme="minorHAnsi"/>
          <w:sz w:val="22"/>
          <w:szCs w:val="22"/>
          <w:lang w:val="en-GB"/>
        </w:rPr>
        <w:t>ensure effective collaboration with Rutland County Council, LPT, Social Care and Voluntary Sector teams in trialling a care navigation hub across the PCH to enable patients to take responsibility for their health and wellbeing.</w:t>
      </w:r>
    </w:p>
    <w:p w:rsidR="00852B45" w:rsidRPr="00852B45" w:rsidRDefault="00852B45" w:rsidP="00852B45">
      <w:pPr>
        <w:numPr>
          <w:ilvl w:val="0"/>
          <w:numId w:val="41"/>
        </w:numPr>
        <w:spacing w:after="200" w:line="276" w:lineRule="auto"/>
        <w:contextualSpacing/>
        <w:rPr>
          <w:rFonts w:eastAsiaTheme="minorHAnsi"/>
          <w:sz w:val="22"/>
          <w:szCs w:val="22"/>
          <w:lang w:val="en-GB"/>
        </w:rPr>
      </w:pPr>
      <w:r w:rsidRPr="00852B45">
        <w:rPr>
          <w:rFonts w:eastAsiaTheme="minorHAnsi"/>
          <w:b/>
          <w:sz w:val="22"/>
          <w:szCs w:val="22"/>
          <w:lang w:val="en-GB"/>
        </w:rPr>
        <w:t>Patient communications</w:t>
      </w:r>
      <w:r w:rsidRPr="00852B45">
        <w:rPr>
          <w:rFonts w:eastAsiaTheme="minorHAnsi"/>
          <w:sz w:val="22"/>
          <w:szCs w:val="22"/>
          <w:lang w:val="en-GB"/>
        </w:rPr>
        <w:t xml:space="preserve"> - develop a collaborative approach to harness web, digital and social channels to improve its communications and engagement with patients and the wider community.  </w:t>
      </w:r>
      <w:r w:rsidRPr="00852B45">
        <w:rPr>
          <w:rFonts w:ascii="Calibri" w:eastAsia="Times New Roman" w:hAnsi="Calibri" w:cs="Arial"/>
          <w:sz w:val="22"/>
          <w:szCs w:val="22"/>
          <w:lang w:eastAsia="en-GB"/>
        </w:rPr>
        <w:t>This will support the active signposting and care navigation agenda</w:t>
      </w:r>
    </w:p>
    <w:p w:rsidR="00852B45" w:rsidRPr="00852B45" w:rsidRDefault="00852B45" w:rsidP="00852B45">
      <w:pPr>
        <w:numPr>
          <w:ilvl w:val="0"/>
          <w:numId w:val="41"/>
        </w:numPr>
        <w:spacing w:after="200" w:line="276" w:lineRule="auto"/>
        <w:contextualSpacing/>
        <w:rPr>
          <w:rFonts w:eastAsiaTheme="minorHAnsi"/>
          <w:sz w:val="22"/>
          <w:szCs w:val="22"/>
          <w:lang w:val="en-GB"/>
        </w:rPr>
      </w:pPr>
      <w:r w:rsidRPr="00852B45">
        <w:rPr>
          <w:rFonts w:eastAsiaTheme="minorHAnsi"/>
          <w:b/>
          <w:sz w:val="22"/>
          <w:szCs w:val="22"/>
          <w:lang w:val="en-GB"/>
        </w:rPr>
        <w:t xml:space="preserve">Back office </w:t>
      </w:r>
      <w:r w:rsidRPr="00852B45">
        <w:rPr>
          <w:rFonts w:eastAsiaTheme="minorHAnsi"/>
          <w:sz w:val="22"/>
          <w:szCs w:val="22"/>
          <w:lang w:val="en-GB"/>
        </w:rPr>
        <w:t xml:space="preserve"> – implement measures to improve back office and workforce resilience; including the implementation of an information sharing tool such as </w:t>
      </w:r>
      <w:r w:rsidRPr="00852B45">
        <w:rPr>
          <w:rFonts w:cs="Arial"/>
          <w:sz w:val="22"/>
          <w:szCs w:val="22"/>
        </w:rPr>
        <w:t xml:space="preserve">GPTeamNet to enable sharing of policies, procedures, protocols and best practice relating to clinical care and CQC requirements.  </w:t>
      </w:r>
    </w:p>
    <w:p w:rsidR="00852B45" w:rsidRPr="00852B45" w:rsidRDefault="00852B45" w:rsidP="00852B45">
      <w:pPr>
        <w:numPr>
          <w:ilvl w:val="0"/>
          <w:numId w:val="41"/>
        </w:numPr>
        <w:spacing w:after="200" w:line="276" w:lineRule="auto"/>
        <w:contextualSpacing/>
        <w:rPr>
          <w:rFonts w:eastAsiaTheme="minorHAnsi"/>
          <w:sz w:val="22"/>
          <w:szCs w:val="22"/>
          <w:lang w:val="en-GB"/>
        </w:rPr>
      </w:pPr>
      <w:r w:rsidRPr="00852B45">
        <w:rPr>
          <w:rFonts w:cs="Arial"/>
          <w:b/>
          <w:sz w:val="22"/>
          <w:szCs w:val="22"/>
        </w:rPr>
        <w:t xml:space="preserve">Workforce resilience – </w:t>
      </w:r>
      <w:r w:rsidRPr="00852B45">
        <w:rPr>
          <w:rFonts w:eastAsiaTheme="minorHAnsi"/>
          <w:sz w:val="22"/>
          <w:szCs w:val="22"/>
          <w:lang w:val="en-GB"/>
        </w:rPr>
        <w:t xml:space="preserve">to improve the sustainability of the primary care workforce, including the development of integrated primary and community nursing and the development of the </w:t>
      </w:r>
      <w:r w:rsidRPr="00852B45">
        <w:rPr>
          <w:rFonts w:eastAsiaTheme="minorHAnsi"/>
          <w:b/>
          <w:sz w:val="22"/>
          <w:szCs w:val="22"/>
          <w:lang w:val="en-GB"/>
        </w:rPr>
        <w:t>‘Rutland bank’</w:t>
      </w:r>
      <w:r w:rsidRPr="00852B45">
        <w:rPr>
          <w:rFonts w:eastAsiaTheme="minorHAnsi"/>
          <w:sz w:val="22"/>
          <w:szCs w:val="22"/>
          <w:lang w:val="en-GB"/>
        </w:rPr>
        <w:t xml:space="preserve"> to enable clinical and administrative staff to be utilised efficiently to provide cover across the Hub’s practices.  Joint educational arrangements will be strengthened.  </w:t>
      </w:r>
    </w:p>
    <w:p w:rsidR="00BE4AB7" w:rsidRPr="007B0AC4" w:rsidRDefault="00BE4AB7" w:rsidP="00BE4AB7">
      <w:pPr>
        <w:ind w:left="360"/>
        <w:rPr>
          <w:rFonts w:cs="Arial"/>
          <w:sz w:val="22"/>
          <w:szCs w:val="22"/>
        </w:rPr>
      </w:pPr>
    </w:p>
    <w:p w:rsidR="00BE4AB7" w:rsidRPr="007B0AC4" w:rsidRDefault="00BE4AB7" w:rsidP="00BE4AB7">
      <w:pPr>
        <w:ind w:left="360"/>
        <w:rPr>
          <w:rFonts w:cs="Arial"/>
          <w:sz w:val="22"/>
          <w:szCs w:val="22"/>
        </w:rPr>
      </w:pPr>
      <w:r w:rsidRPr="007B0AC4">
        <w:rPr>
          <w:rFonts w:cs="Arial"/>
          <w:b/>
          <w:sz w:val="22"/>
          <w:szCs w:val="22"/>
        </w:rPr>
        <w:t xml:space="preserve">Harborough </w:t>
      </w:r>
      <w:r w:rsidRPr="007B0AC4">
        <w:rPr>
          <w:rFonts w:cs="Arial"/>
          <w:sz w:val="22"/>
          <w:szCs w:val="22"/>
        </w:rPr>
        <w:t>(Billesdon, Kibworth, Two Shires, Husbands Bosworth, Market Harborough)</w:t>
      </w:r>
    </w:p>
    <w:p w:rsidR="00D160BA" w:rsidRDefault="00D160BA" w:rsidP="00852B45">
      <w:pPr>
        <w:pStyle w:val="ListParagraph"/>
        <w:numPr>
          <w:ilvl w:val="0"/>
          <w:numId w:val="42"/>
        </w:numPr>
        <w:spacing w:after="200" w:line="276" w:lineRule="auto"/>
        <w:rPr>
          <w:rFonts w:eastAsiaTheme="minorHAnsi"/>
          <w:sz w:val="22"/>
          <w:szCs w:val="22"/>
          <w:lang w:val="en-GB"/>
        </w:rPr>
      </w:pPr>
      <w:r w:rsidRPr="0093255C">
        <w:rPr>
          <w:rFonts w:eastAsiaTheme="minorHAnsi"/>
          <w:sz w:val="22"/>
          <w:szCs w:val="22"/>
          <w:lang w:val="en-GB"/>
        </w:rPr>
        <w:t>Collaborate with Harborough Council, LPT, Social Care and Voluntary Sector teams to develop a</w:t>
      </w:r>
      <w:r>
        <w:rPr>
          <w:rFonts w:eastAsiaTheme="minorHAnsi"/>
          <w:sz w:val="22"/>
          <w:szCs w:val="22"/>
          <w:lang w:val="en-GB"/>
        </w:rPr>
        <w:t>n integrated prevention services offer for</w:t>
      </w:r>
      <w:r w:rsidRPr="0093255C">
        <w:rPr>
          <w:rFonts w:eastAsiaTheme="minorHAnsi"/>
          <w:sz w:val="22"/>
          <w:szCs w:val="22"/>
          <w:lang w:val="en-GB"/>
        </w:rPr>
        <w:t xml:space="preserve"> the </w:t>
      </w:r>
      <w:r>
        <w:rPr>
          <w:rFonts w:eastAsiaTheme="minorHAnsi"/>
          <w:sz w:val="22"/>
          <w:szCs w:val="22"/>
          <w:lang w:val="en-GB"/>
        </w:rPr>
        <w:t>Harborough</w:t>
      </w:r>
      <w:r w:rsidRPr="0093255C">
        <w:rPr>
          <w:rFonts w:eastAsiaTheme="minorHAnsi"/>
          <w:sz w:val="22"/>
          <w:szCs w:val="22"/>
          <w:lang w:val="en-GB"/>
        </w:rPr>
        <w:t xml:space="preserve"> residents and ensure that its ‘community assets’ are effectively used through social prescribing.</w:t>
      </w:r>
    </w:p>
    <w:p w:rsidR="00D160BA" w:rsidRDefault="00D160BA" w:rsidP="00852B45">
      <w:pPr>
        <w:pStyle w:val="ListParagraph"/>
        <w:numPr>
          <w:ilvl w:val="0"/>
          <w:numId w:val="42"/>
        </w:numPr>
        <w:spacing w:after="200" w:line="276" w:lineRule="auto"/>
        <w:rPr>
          <w:rFonts w:eastAsiaTheme="minorHAnsi"/>
          <w:sz w:val="22"/>
          <w:szCs w:val="22"/>
          <w:lang w:val="en-GB"/>
        </w:rPr>
      </w:pPr>
      <w:r>
        <w:rPr>
          <w:rFonts w:eastAsiaTheme="minorHAnsi"/>
          <w:sz w:val="22"/>
          <w:szCs w:val="22"/>
          <w:lang w:val="en-GB"/>
        </w:rPr>
        <w:t>Develop the approach to acute on the day access, including;</w:t>
      </w:r>
    </w:p>
    <w:p w:rsidR="00D160BA" w:rsidRDefault="00D160BA" w:rsidP="00852B45">
      <w:pPr>
        <w:pStyle w:val="ListParagraph"/>
        <w:numPr>
          <w:ilvl w:val="1"/>
          <w:numId w:val="42"/>
        </w:numPr>
        <w:spacing w:after="200" w:line="276" w:lineRule="auto"/>
        <w:rPr>
          <w:rFonts w:eastAsiaTheme="minorHAnsi"/>
          <w:sz w:val="22"/>
          <w:szCs w:val="22"/>
          <w:lang w:val="en-GB"/>
        </w:rPr>
      </w:pPr>
      <w:r>
        <w:rPr>
          <w:rFonts w:eastAsiaTheme="minorHAnsi"/>
          <w:sz w:val="22"/>
          <w:szCs w:val="22"/>
          <w:lang w:val="en-GB"/>
        </w:rPr>
        <w:t>using para-medical staff</w:t>
      </w:r>
    </w:p>
    <w:p w:rsidR="00D160BA" w:rsidRDefault="00D160BA" w:rsidP="00852B45">
      <w:pPr>
        <w:pStyle w:val="ListParagraph"/>
        <w:numPr>
          <w:ilvl w:val="1"/>
          <w:numId w:val="42"/>
        </w:numPr>
        <w:spacing w:after="200" w:line="276" w:lineRule="auto"/>
        <w:rPr>
          <w:rFonts w:eastAsiaTheme="minorHAnsi"/>
          <w:sz w:val="22"/>
          <w:szCs w:val="22"/>
          <w:lang w:val="en-GB"/>
        </w:rPr>
      </w:pPr>
      <w:r>
        <w:rPr>
          <w:rFonts w:eastAsiaTheme="minorHAnsi"/>
          <w:sz w:val="22"/>
          <w:szCs w:val="22"/>
          <w:lang w:val="en-GB"/>
        </w:rPr>
        <w:t>reviewing use of buildings</w:t>
      </w:r>
    </w:p>
    <w:p w:rsidR="00D160BA" w:rsidRDefault="00D160BA" w:rsidP="00852B45">
      <w:pPr>
        <w:pStyle w:val="ListParagraph"/>
        <w:numPr>
          <w:ilvl w:val="1"/>
          <w:numId w:val="42"/>
        </w:numPr>
        <w:spacing w:after="200" w:line="276" w:lineRule="auto"/>
        <w:rPr>
          <w:rFonts w:eastAsiaTheme="minorHAnsi"/>
          <w:sz w:val="22"/>
          <w:szCs w:val="22"/>
          <w:lang w:val="en-GB"/>
        </w:rPr>
      </w:pPr>
      <w:r>
        <w:rPr>
          <w:rFonts w:eastAsiaTheme="minorHAnsi"/>
          <w:sz w:val="22"/>
          <w:szCs w:val="22"/>
          <w:lang w:val="en-GB"/>
        </w:rPr>
        <w:t>home visiting service</w:t>
      </w:r>
    </w:p>
    <w:p w:rsidR="00D160BA" w:rsidRPr="00D160BA" w:rsidRDefault="00D160BA" w:rsidP="00852B45">
      <w:pPr>
        <w:pStyle w:val="ListParagraph"/>
        <w:numPr>
          <w:ilvl w:val="1"/>
          <w:numId w:val="42"/>
        </w:numPr>
        <w:spacing w:after="200" w:line="276" w:lineRule="auto"/>
        <w:rPr>
          <w:rFonts w:cs="Arial"/>
          <w:sz w:val="22"/>
          <w:szCs w:val="22"/>
        </w:rPr>
      </w:pPr>
      <w:r w:rsidRPr="00D160BA">
        <w:rPr>
          <w:rFonts w:eastAsiaTheme="minorHAnsi"/>
          <w:sz w:val="22"/>
          <w:szCs w:val="22"/>
          <w:lang w:val="en-GB"/>
        </w:rPr>
        <w:t>Locality triage service</w:t>
      </w:r>
    </w:p>
    <w:p w:rsidR="00BE4AB7" w:rsidRPr="00A611A3" w:rsidRDefault="00D160BA" w:rsidP="00852B45">
      <w:pPr>
        <w:pStyle w:val="ListParagraph"/>
        <w:numPr>
          <w:ilvl w:val="0"/>
          <w:numId w:val="42"/>
        </w:numPr>
        <w:rPr>
          <w:rFonts w:cs="Arial"/>
          <w:sz w:val="22"/>
          <w:szCs w:val="22"/>
        </w:rPr>
      </w:pPr>
      <w:r>
        <w:rPr>
          <w:rFonts w:cs="Arial"/>
          <w:sz w:val="22"/>
          <w:szCs w:val="22"/>
        </w:rPr>
        <w:t>Policy / information sharing – GPTeamNet</w:t>
      </w:r>
    </w:p>
    <w:p w:rsidR="007B0AC4" w:rsidRDefault="007B0AC4" w:rsidP="007B0AC4">
      <w:pPr>
        <w:rPr>
          <w:rFonts w:cs="Arial"/>
          <w:sz w:val="22"/>
          <w:szCs w:val="22"/>
          <w:lang w:val="en-GB"/>
        </w:rPr>
      </w:pPr>
    </w:p>
    <w:p w:rsidR="009613B0" w:rsidRDefault="009613B0" w:rsidP="009613B0">
      <w:pPr>
        <w:rPr>
          <w:rFonts w:cs="Arial"/>
          <w:sz w:val="22"/>
          <w:szCs w:val="22"/>
        </w:rPr>
      </w:pPr>
    </w:p>
    <w:p w:rsidR="009613B0" w:rsidRDefault="00CB3982" w:rsidP="009613B0">
      <w:pPr>
        <w:rPr>
          <w:rFonts w:cs="Arial"/>
          <w:sz w:val="22"/>
          <w:szCs w:val="22"/>
        </w:rPr>
      </w:pPr>
      <w:r>
        <w:rPr>
          <w:rFonts w:cs="Arial"/>
          <w:sz w:val="22"/>
          <w:szCs w:val="22"/>
        </w:rPr>
        <w:t>The</w:t>
      </w:r>
      <w:r w:rsidR="009613B0">
        <w:rPr>
          <w:rFonts w:cs="Arial"/>
          <w:sz w:val="22"/>
          <w:szCs w:val="22"/>
        </w:rPr>
        <w:t xml:space="preserve"> Federation </w:t>
      </w:r>
      <w:r>
        <w:rPr>
          <w:rFonts w:cs="Arial"/>
          <w:sz w:val="22"/>
          <w:szCs w:val="22"/>
        </w:rPr>
        <w:t xml:space="preserve">will be </w:t>
      </w:r>
      <w:r w:rsidR="009613B0">
        <w:rPr>
          <w:rFonts w:cs="Arial"/>
          <w:sz w:val="22"/>
          <w:szCs w:val="22"/>
        </w:rPr>
        <w:t>support</w:t>
      </w:r>
      <w:r>
        <w:rPr>
          <w:rFonts w:cs="Arial"/>
          <w:sz w:val="22"/>
          <w:szCs w:val="22"/>
        </w:rPr>
        <w:t xml:space="preserve">ing </w:t>
      </w:r>
      <w:r w:rsidR="009613B0">
        <w:rPr>
          <w:rFonts w:cs="Arial"/>
          <w:sz w:val="22"/>
          <w:szCs w:val="22"/>
        </w:rPr>
        <w:t>the implementation of the</w:t>
      </w:r>
      <w:r>
        <w:rPr>
          <w:rFonts w:cs="Arial"/>
          <w:sz w:val="22"/>
          <w:szCs w:val="22"/>
        </w:rPr>
        <w:t>se transformation fund projects in a number of ways</w:t>
      </w:r>
    </w:p>
    <w:p w:rsidR="009613B0" w:rsidRDefault="009613B0" w:rsidP="009613B0">
      <w:pPr>
        <w:rPr>
          <w:rFonts w:cs="Arial"/>
          <w:sz w:val="22"/>
          <w:szCs w:val="22"/>
        </w:rPr>
      </w:pPr>
    </w:p>
    <w:p w:rsidR="00993498" w:rsidRDefault="009613B0" w:rsidP="009613B0">
      <w:pPr>
        <w:pStyle w:val="ListParagraph"/>
        <w:numPr>
          <w:ilvl w:val="0"/>
          <w:numId w:val="20"/>
        </w:numPr>
        <w:spacing w:line="360" w:lineRule="auto"/>
        <w:rPr>
          <w:rFonts w:cs="Arial"/>
          <w:sz w:val="22"/>
          <w:szCs w:val="22"/>
        </w:rPr>
      </w:pPr>
      <w:r>
        <w:rPr>
          <w:rFonts w:cs="Arial"/>
          <w:sz w:val="22"/>
          <w:szCs w:val="22"/>
        </w:rPr>
        <w:t xml:space="preserve">Administrate the </w:t>
      </w:r>
      <w:r w:rsidR="00993498" w:rsidRPr="009613B0">
        <w:rPr>
          <w:rFonts w:cs="Arial"/>
          <w:sz w:val="22"/>
          <w:szCs w:val="22"/>
        </w:rPr>
        <w:t xml:space="preserve">transformation fund on behalf of the </w:t>
      </w:r>
      <w:r>
        <w:rPr>
          <w:rFonts w:cs="Arial"/>
          <w:sz w:val="22"/>
          <w:szCs w:val="22"/>
        </w:rPr>
        <w:t>Localities</w:t>
      </w:r>
      <w:r w:rsidR="00993498" w:rsidRPr="009613B0">
        <w:rPr>
          <w:rFonts w:cs="Arial"/>
          <w:sz w:val="22"/>
          <w:szCs w:val="22"/>
        </w:rPr>
        <w:t>, depending on the scheme.</w:t>
      </w:r>
    </w:p>
    <w:p w:rsidR="009613B0" w:rsidRDefault="009613B0" w:rsidP="009613B0">
      <w:pPr>
        <w:pStyle w:val="ListParagraph"/>
        <w:numPr>
          <w:ilvl w:val="0"/>
          <w:numId w:val="20"/>
        </w:numPr>
        <w:spacing w:line="360" w:lineRule="auto"/>
        <w:rPr>
          <w:rFonts w:cs="Arial"/>
          <w:sz w:val="22"/>
          <w:szCs w:val="22"/>
        </w:rPr>
      </w:pPr>
      <w:r>
        <w:rPr>
          <w:rFonts w:cs="Arial"/>
          <w:sz w:val="22"/>
          <w:szCs w:val="22"/>
        </w:rPr>
        <w:t>Employ para-medical staff on behalf of the Localities</w:t>
      </w:r>
      <w:r w:rsidR="00CB3982">
        <w:rPr>
          <w:rFonts w:cs="Arial"/>
          <w:sz w:val="22"/>
          <w:szCs w:val="22"/>
        </w:rPr>
        <w:t xml:space="preserve"> and/or supporting practices to employ staff that will work across the Locality</w:t>
      </w:r>
    </w:p>
    <w:p w:rsidR="009613B0" w:rsidRPr="009613B0" w:rsidRDefault="009613B0" w:rsidP="009613B0">
      <w:pPr>
        <w:pStyle w:val="ListParagraph"/>
        <w:numPr>
          <w:ilvl w:val="0"/>
          <w:numId w:val="20"/>
        </w:numPr>
        <w:spacing w:line="360" w:lineRule="auto"/>
        <w:rPr>
          <w:rFonts w:cs="Arial"/>
          <w:sz w:val="22"/>
          <w:szCs w:val="22"/>
        </w:rPr>
      </w:pPr>
      <w:r>
        <w:rPr>
          <w:rFonts w:cs="Arial"/>
          <w:sz w:val="22"/>
          <w:szCs w:val="22"/>
        </w:rPr>
        <w:t>Provide project management support</w:t>
      </w:r>
    </w:p>
    <w:p w:rsidR="008767FE" w:rsidRDefault="008767FE" w:rsidP="008767FE">
      <w:pPr>
        <w:rPr>
          <w:rFonts w:cs="Arial"/>
          <w:sz w:val="22"/>
          <w:szCs w:val="22"/>
        </w:rPr>
      </w:pPr>
    </w:p>
    <w:p w:rsidR="003F3C66" w:rsidRDefault="003F3C66">
      <w:pPr>
        <w:spacing w:after="200" w:line="276" w:lineRule="auto"/>
        <w:rPr>
          <w:rFonts w:cs="Arial"/>
          <w:sz w:val="22"/>
          <w:szCs w:val="22"/>
        </w:rPr>
      </w:pPr>
      <w:r>
        <w:rPr>
          <w:rFonts w:cs="Arial"/>
          <w:sz w:val="22"/>
          <w:szCs w:val="22"/>
        </w:rPr>
        <w:br w:type="page"/>
      </w:r>
    </w:p>
    <w:p w:rsidR="00DA09E0" w:rsidRPr="00725036" w:rsidRDefault="008241E5" w:rsidP="00993498">
      <w:pPr>
        <w:pStyle w:val="ListParagraph"/>
        <w:widowControl w:val="0"/>
        <w:numPr>
          <w:ilvl w:val="0"/>
          <w:numId w:val="1"/>
        </w:numPr>
        <w:tabs>
          <w:tab w:val="left" w:pos="220"/>
          <w:tab w:val="left" w:pos="720"/>
        </w:tabs>
        <w:autoSpaceDE w:val="0"/>
        <w:autoSpaceDN w:val="0"/>
        <w:adjustRightInd w:val="0"/>
        <w:spacing w:line="276" w:lineRule="auto"/>
        <w:rPr>
          <w:rFonts w:cs="Arial"/>
          <w:b/>
          <w:sz w:val="22"/>
          <w:szCs w:val="22"/>
        </w:rPr>
      </w:pPr>
      <w:r w:rsidRPr="00725036">
        <w:rPr>
          <w:rFonts w:cs="Arial"/>
          <w:b/>
          <w:sz w:val="22"/>
          <w:szCs w:val="22"/>
        </w:rPr>
        <w:lastRenderedPageBreak/>
        <w:t xml:space="preserve">Urgent Care </w:t>
      </w:r>
      <w:r w:rsidR="00BB4809" w:rsidRPr="00725036">
        <w:rPr>
          <w:rFonts w:cs="Arial"/>
          <w:b/>
          <w:sz w:val="22"/>
          <w:szCs w:val="22"/>
        </w:rPr>
        <w:t>/ extended primary care</w:t>
      </w:r>
    </w:p>
    <w:p w:rsidR="00525329" w:rsidRDefault="00525329" w:rsidP="00993498">
      <w:pPr>
        <w:pStyle w:val="ListParagraph"/>
        <w:widowControl w:val="0"/>
        <w:numPr>
          <w:ilvl w:val="0"/>
          <w:numId w:val="2"/>
        </w:numPr>
        <w:tabs>
          <w:tab w:val="left" w:pos="220"/>
          <w:tab w:val="left" w:pos="720"/>
        </w:tabs>
        <w:autoSpaceDE w:val="0"/>
        <w:autoSpaceDN w:val="0"/>
        <w:adjustRightInd w:val="0"/>
        <w:spacing w:line="276" w:lineRule="auto"/>
        <w:rPr>
          <w:rFonts w:cs="Arial"/>
          <w:sz w:val="22"/>
          <w:szCs w:val="22"/>
        </w:rPr>
      </w:pPr>
      <w:r>
        <w:rPr>
          <w:rFonts w:cs="Arial"/>
          <w:sz w:val="22"/>
          <w:szCs w:val="22"/>
        </w:rPr>
        <w:t xml:space="preserve">The timetable for </w:t>
      </w:r>
      <w:r w:rsidR="008A5C5D">
        <w:rPr>
          <w:rFonts w:cs="Arial"/>
          <w:sz w:val="22"/>
          <w:szCs w:val="22"/>
        </w:rPr>
        <w:t xml:space="preserve">the </w:t>
      </w:r>
      <w:r>
        <w:rPr>
          <w:rFonts w:cs="Arial"/>
          <w:sz w:val="22"/>
          <w:szCs w:val="22"/>
        </w:rPr>
        <w:t xml:space="preserve">procurement process </w:t>
      </w:r>
      <w:r w:rsidR="00164951">
        <w:rPr>
          <w:rFonts w:cs="Arial"/>
          <w:sz w:val="22"/>
          <w:szCs w:val="22"/>
        </w:rPr>
        <w:t xml:space="preserve">will result in a </w:t>
      </w:r>
      <w:r w:rsidR="00F74664">
        <w:rPr>
          <w:rFonts w:cs="Arial"/>
          <w:sz w:val="22"/>
          <w:szCs w:val="22"/>
        </w:rPr>
        <w:t>new contract to start in April 2019</w:t>
      </w:r>
      <w:r>
        <w:rPr>
          <w:rFonts w:cs="Arial"/>
          <w:sz w:val="22"/>
          <w:szCs w:val="22"/>
        </w:rPr>
        <w:t>.</w:t>
      </w:r>
    </w:p>
    <w:p w:rsidR="00CB3982" w:rsidRDefault="00CB3982" w:rsidP="00993498">
      <w:pPr>
        <w:pStyle w:val="ListParagraph"/>
        <w:widowControl w:val="0"/>
        <w:numPr>
          <w:ilvl w:val="0"/>
          <w:numId w:val="2"/>
        </w:numPr>
        <w:tabs>
          <w:tab w:val="left" w:pos="220"/>
          <w:tab w:val="left" w:pos="720"/>
        </w:tabs>
        <w:autoSpaceDE w:val="0"/>
        <w:autoSpaceDN w:val="0"/>
        <w:adjustRightInd w:val="0"/>
        <w:spacing w:line="276" w:lineRule="auto"/>
        <w:rPr>
          <w:rFonts w:cs="Arial"/>
          <w:sz w:val="22"/>
          <w:szCs w:val="22"/>
        </w:rPr>
      </w:pPr>
      <w:r>
        <w:rPr>
          <w:rFonts w:cs="Arial"/>
          <w:sz w:val="22"/>
          <w:szCs w:val="22"/>
        </w:rPr>
        <w:t>The specification is likely to be issued in the next couple of months.</w:t>
      </w:r>
    </w:p>
    <w:p w:rsidR="00164951" w:rsidRPr="00CB3982" w:rsidRDefault="00CB3982" w:rsidP="00993498">
      <w:pPr>
        <w:pStyle w:val="ListParagraph"/>
        <w:widowControl w:val="0"/>
        <w:numPr>
          <w:ilvl w:val="0"/>
          <w:numId w:val="2"/>
        </w:numPr>
        <w:tabs>
          <w:tab w:val="left" w:pos="220"/>
          <w:tab w:val="left" w:pos="720"/>
        </w:tabs>
        <w:autoSpaceDE w:val="0"/>
        <w:autoSpaceDN w:val="0"/>
        <w:adjustRightInd w:val="0"/>
        <w:spacing w:line="276" w:lineRule="auto"/>
        <w:rPr>
          <w:rFonts w:cs="Arial"/>
          <w:b/>
        </w:rPr>
      </w:pPr>
      <w:r w:rsidRPr="00CB3982">
        <w:rPr>
          <w:rFonts w:cs="Arial"/>
          <w:b/>
        </w:rPr>
        <w:t xml:space="preserve">The Federation Board now </w:t>
      </w:r>
      <w:r w:rsidR="00164951" w:rsidRPr="00CB3982">
        <w:rPr>
          <w:rFonts w:cs="Arial"/>
          <w:b/>
        </w:rPr>
        <w:t>need</w:t>
      </w:r>
      <w:r w:rsidRPr="00CB3982">
        <w:rPr>
          <w:rFonts w:cs="Arial"/>
          <w:b/>
        </w:rPr>
        <w:t>s to determine its strategy.</w:t>
      </w:r>
    </w:p>
    <w:p w:rsidR="00E16297" w:rsidRDefault="00E16297" w:rsidP="0071568A">
      <w:pPr>
        <w:pStyle w:val="ListParagraph"/>
        <w:widowControl w:val="0"/>
        <w:tabs>
          <w:tab w:val="left" w:pos="220"/>
          <w:tab w:val="left" w:pos="720"/>
        </w:tabs>
        <w:autoSpaceDE w:val="0"/>
        <w:autoSpaceDN w:val="0"/>
        <w:adjustRightInd w:val="0"/>
        <w:spacing w:line="276" w:lineRule="auto"/>
        <w:rPr>
          <w:rFonts w:cs="Arial"/>
          <w:sz w:val="22"/>
          <w:szCs w:val="22"/>
        </w:rPr>
      </w:pPr>
    </w:p>
    <w:p w:rsidR="00FE543E" w:rsidRPr="00B71841" w:rsidRDefault="00164951" w:rsidP="00993498">
      <w:pPr>
        <w:pStyle w:val="ListParagraph"/>
        <w:widowControl w:val="0"/>
        <w:numPr>
          <w:ilvl w:val="0"/>
          <w:numId w:val="1"/>
        </w:numPr>
        <w:tabs>
          <w:tab w:val="left" w:pos="220"/>
          <w:tab w:val="left" w:pos="720"/>
        </w:tabs>
        <w:autoSpaceDE w:val="0"/>
        <w:autoSpaceDN w:val="0"/>
        <w:adjustRightInd w:val="0"/>
        <w:spacing w:line="276" w:lineRule="auto"/>
        <w:rPr>
          <w:rFonts w:cs="Arial"/>
          <w:b/>
          <w:sz w:val="22"/>
          <w:szCs w:val="22"/>
        </w:rPr>
      </w:pPr>
      <w:r>
        <w:rPr>
          <w:rFonts w:cs="Arial"/>
          <w:b/>
          <w:sz w:val="22"/>
          <w:szCs w:val="22"/>
        </w:rPr>
        <w:t xml:space="preserve">Winter Access scheme </w:t>
      </w:r>
      <w:r w:rsidR="009613B0">
        <w:rPr>
          <w:rFonts w:cs="Arial"/>
          <w:b/>
          <w:sz w:val="22"/>
          <w:szCs w:val="22"/>
        </w:rPr>
        <w:t xml:space="preserve">– </w:t>
      </w:r>
      <w:r w:rsidR="009613B0" w:rsidRPr="009613B0">
        <w:rPr>
          <w:rFonts w:cs="Arial"/>
          <w:sz w:val="22"/>
          <w:szCs w:val="22"/>
        </w:rPr>
        <w:t xml:space="preserve">update </w:t>
      </w:r>
      <w:r w:rsidR="00B71841">
        <w:rPr>
          <w:rFonts w:cs="Arial"/>
          <w:sz w:val="22"/>
          <w:szCs w:val="22"/>
        </w:rPr>
        <w:t xml:space="preserve">attached at </w:t>
      </w:r>
      <w:r w:rsidR="00B71841" w:rsidRPr="00B71841">
        <w:rPr>
          <w:rFonts w:cs="Arial"/>
          <w:b/>
          <w:sz w:val="22"/>
          <w:szCs w:val="22"/>
        </w:rPr>
        <w:t>appendix A.</w:t>
      </w:r>
    </w:p>
    <w:p w:rsidR="00164951" w:rsidRPr="007F0B03" w:rsidRDefault="00164951" w:rsidP="00164951">
      <w:pPr>
        <w:widowControl w:val="0"/>
        <w:tabs>
          <w:tab w:val="left" w:pos="220"/>
          <w:tab w:val="left" w:pos="720"/>
        </w:tabs>
        <w:autoSpaceDE w:val="0"/>
        <w:autoSpaceDN w:val="0"/>
        <w:adjustRightInd w:val="0"/>
        <w:ind w:left="220"/>
        <w:rPr>
          <w:rFonts w:cs="Arial"/>
          <w:b/>
          <w:sz w:val="22"/>
          <w:szCs w:val="22"/>
        </w:rPr>
      </w:pPr>
    </w:p>
    <w:p w:rsidR="00775038" w:rsidRPr="00E038A9" w:rsidRDefault="00FE543E" w:rsidP="00993498">
      <w:pPr>
        <w:pStyle w:val="ListParagraph"/>
        <w:widowControl w:val="0"/>
        <w:numPr>
          <w:ilvl w:val="0"/>
          <w:numId w:val="1"/>
        </w:numPr>
        <w:tabs>
          <w:tab w:val="left" w:pos="220"/>
          <w:tab w:val="left" w:pos="720"/>
        </w:tabs>
        <w:autoSpaceDE w:val="0"/>
        <w:autoSpaceDN w:val="0"/>
        <w:adjustRightInd w:val="0"/>
        <w:spacing w:line="276" w:lineRule="auto"/>
        <w:rPr>
          <w:rFonts w:cs="Arial"/>
          <w:sz w:val="22"/>
          <w:szCs w:val="22"/>
        </w:rPr>
      </w:pPr>
      <w:r w:rsidRPr="007F0B03">
        <w:rPr>
          <w:rFonts w:cs="Arial"/>
          <w:b/>
          <w:sz w:val="22"/>
          <w:szCs w:val="22"/>
        </w:rPr>
        <w:t xml:space="preserve">NHS England; Clinical pharmacists in general practice Project </w:t>
      </w:r>
      <w:r w:rsidR="009613B0">
        <w:rPr>
          <w:rFonts w:cs="Arial"/>
          <w:b/>
          <w:sz w:val="22"/>
          <w:szCs w:val="22"/>
        </w:rPr>
        <w:t xml:space="preserve">– </w:t>
      </w:r>
      <w:r w:rsidR="000A4EDE">
        <w:rPr>
          <w:rFonts w:cs="Arial"/>
          <w:sz w:val="22"/>
          <w:szCs w:val="22"/>
        </w:rPr>
        <w:t xml:space="preserve">see update at </w:t>
      </w:r>
      <w:r w:rsidR="000A4EDE" w:rsidRPr="000A4EDE">
        <w:rPr>
          <w:rFonts w:cs="Arial"/>
          <w:b/>
          <w:sz w:val="22"/>
          <w:szCs w:val="22"/>
        </w:rPr>
        <w:t>appendix B.</w:t>
      </w:r>
      <w:r w:rsidR="00E038A9">
        <w:rPr>
          <w:rFonts w:cs="Arial"/>
          <w:sz w:val="22"/>
          <w:szCs w:val="22"/>
        </w:rPr>
        <w:t>.</w:t>
      </w:r>
    </w:p>
    <w:p w:rsidR="002337B5" w:rsidRPr="00B330BE" w:rsidRDefault="002337B5" w:rsidP="00B330BE">
      <w:pPr>
        <w:widowControl w:val="0"/>
        <w:tabs>
          <w:tab w:val="left" w:pos="220"/>
          <w:tab w:val="left" w:pos="720"/>
        </w:tabs>
        <w:autoSpaceDE w:val="0"/>
        <w:autoSpaceDN w:val="0"/>
        <w:adjustRightInd w:val="0"/>
        <w:rPr>
          <w:rFonts w:cs="Arial"/>
          <w:sz w:val="22"/>
          <w:szCs w:val="22"/>
        </w:rPr>
      </w:pPr>
    </w:p>
    <w:p w:rsidR="00B330BE" w:rsidRPr="00B71841" w:rsidRDefault="00B330BE" w:rsidP="00993498">
      <w:pPr>
        <w:pStyle w:val="ListParagraph"/>
        <w:widowControl w:val="0"/>
        <w:numPr>
          <w:ilvl w:val="0"/>
          <w:numId w:val="1"/>
        </w:numPr>
        <w:tabs>
          <w:tab w:val="left" w:pos="220"/>
          <w:tab w:val="left" w:pos="720"/>
        </w:tabs>
        <w:autoSpaceDE w:val="0"/>
        <w:autoSpaceDN w:val="0"/>
        <w:adjustRightInd w:val="0"/>
        <w:spacing w:line="276" w:lineRule="auto"/>
        <w:rPr>
          <w:rFonts w:cs="Arial"/>
          <w:b/>
          <w:sz w:val="22"/>
          <w:szCs w:val="22"/>
        </w:rPr>
      </w:pPr>
      <w:r>
        <w:rPr>
          <w:rFonts w:cs="Arial"/>
          <w:b/>
          <w:sz w:val="22"/>
          <w:szCs w:val="22"/>
        </w:rPr>
        <w:t>Community Based Services and inter-practice referral process</w:t>
      </w:r>
    </w:p>
    <w:p w:rsidR="00AC7021" w:rsidRDefault="00AC7021" w:rsidP="00993498">
      <w:pPr>
        <w:pStyle w:val="ListParagraph"/>
        <w:numPr>
          <w:ilvl w:val="0"/>
          <w:numId w:val="7"/>
        </w:numPr>
        <w:spacing w:line="276" w:lineRule="auto"/>
        <w:rPr>
          <w:rFonts w:cs="Arial"/>
          <w:sz w:val="22"/>
          <w:szCs w:val="22"/>
          <w:lang w:val="en-GB"/>
        </w:rPr>
      </w:pPr>
      <w:r>
        <w:rPr>
          <w:rFonts w:cs="Arial"/>
          <w:sz w:val="22"/>
          <w:szCs w:val="22"/>
          <w:lang w:val="en-GB"/>
        </w:rPr>
        <w:t>Latham House are being audited.</w:t>
      </w:r>
    </w:p>
    <w:p w:rsidR="00AC7021" w:rsidRDefault="00AC7021" w:rsidP="00993498">
      <w:pPr>
        <w:pStyle w:val="ListParagraph"/>
        <w:numPr>
          <w:ilvl w:val="0"/>
          <w:numId w:val="7"/>
        </w:numPr>
        <w:spacing w:line="276" w:lineRule="auto"/>
        <w:rPr>
          <w:rFonts w:cs="Arial"/>
          <w:sz w:val="22"/>
          <w:szCs w:val="22"/>
          <w:lang w:val="en-GB"/>
        </w:rPr>
      </w:pPr>
      <w:r>
        <w:rPr>
          <w:rFonts w:cs="Arial"/>
          <w:sz w:val="22"/>
          <w:szCs w:val="22"/>
          <w:lang w:val="en-GB"/>
        </w:rPr>
        <w:t>Next performance review meeting will be held on 27</w:t>
      </w:r>
      <w:r w:rsidRPr="00AC7021">
        <w:rPr>
          <w:rFonts w:cs="Arial"/>
          <w:sz w:val="22"/>
          <w:szCs w:val="22"/>
          <w:vertAlign w:val="superscript"/>
          <w:lang w:val="en-GB"/>
        </w:rPr>
        <w:t>th</w:t>
      </w:r>
      <w:r>
        <w:rPr>
          <w:rFonts w:cs="Arial"/>
          <w:sz w:val="22"/>
          <w:szCs w:val="22"/>
          <w:lang w:val="en-GB"/>
        </w:rPr>
        <w:t xml:space="preserve"> April 2018.</w:t>
      </w:r>
    </w:p>
    <w:p w:rsidR="004E0317" w:rsidRPr="00E918C0" w:rsidRDefault="00EB452D" w:rsidP="00993498">
      <w:pPr>
        <w:pStyle w:val="ListParagraph"/>
        <w:numPr>
          <w:ilvl w:val="0"/>
          <w:numId w:val="7"/>
        </w:numPr>
        <w:spacing w:line="276" w:lineRule="auto"/>
        <w:rPr>
          <w:rFonts w:cs="Arial"/>
          <w:sz w:val="22"/>
          <w:szCs w:val="22"/>
          <w:lang w:val="en-GB"/>
        </w:rPr>
      </w:pPr>
      <w:r>
        <w:rPr>
          <w:rFonts w:cs="Arial"/>
          <w:sz w:val="22"/>
          <w:szCs w:val="22"/>
          <w:lang w:val="en-GB"/>
        </w:rPr>
        <w:t>HP/JW are updating schedule of fitters and their evidence to practice and indemnity certificates</w:t>
      </w:r>
    </w:p>
    <w:p w:rsidR="00FC57E7" w:rsidRDefault="00FC57E7" w:rsidP="00993498">
      <w:pPr>
        <w:pStyle w:val="ListParagraph"/>
        <w:numPr>
          <w:ilvl w:val="0"/>
          <w:numId w:val="7"/>
        </w:numPr>
        <w:spacing w:line="276" w:lineRule="auto"/>
        <w:rPr>
          <w:rFonts w:cs="Arial"/>
          <w:sz w:val="22"/>
          <w:szCs w:val="22"/>
          <w:lang w:val="en-GB"/>
        </w:rPr>
      </w:pPr>
      <w:r>
        <w:rPr>
          <w:rFonts w:cs="Arial"/>
          <w:sz w:val="22"/>
          <w:szCs w:val="22"/>
          <w:lang w:val="en-GB"/>
        </w:rPr>
        <w:t xml:space="preserve">Bushloe / Wigston are starting inter-practice referral for </w:t>
      </w:r>
      <w:r w:rsidRPr="004E0317">
        <w:rPr>
          <w:rFonts w:cs="Arial"/>
          <w:sz w:val="22"/>
          <w:szCs w:val="22"/>
          <w:lang w:val="en-GB"/>
        </w:rPr>
        <w:t>IUD/IUS/SD</w:t>
      </w:r>
      <w:r>
        <w:rPr>
          <w:rFonts w:cs="Arial"/>
          <w:sz w:val="22"/>
          <w:szCs w:val="22"/>
          <w:lang w:val="en-GB"/>
        </w:rPr>
        <w:t>I services</w:t>
      </w:r>
      <w:r w:rsidRPr="00166655">
        <w:rPr>
          <w:rFonts w:cs="Arial"/>
          <w:sz w:val="22"/>
          <w:szCs w:val="22"/>
          <w:lang w:val="en-GB"/>
        </w:rPr>
        <w:t xml:space="preserve"> </w:t>
      </w:r>
      <w:r>
        <w:rPr>
          <w:rFonts w:cs="Arial"/>
          <w:sz w:val="22"/>
          <w:szCs w:val="22"/>
          <w:lang w:val="en-GB"/>
        </w:rPr>
        <w:t xml:space="preserve"> </w:t>
      </w:r>
    </w:p>
    <w:p w:rsidR="00C07DF5" w:rsidRDefault="00C07DF5" w:rsidP="00DA09E0">
      <w:pPr>
        <w:rPr>
          <w:rFonts w:cs="Arial"/>
          <w:b/>
          <w:sz w:val="22"/>
          <w:szCs w:val="22"/>
          <w:lang w:val="en-GB"/>
        </w:rPr>
      </w:pPr>
    </w:p>
    <w:p w:rsidR="00B10D9E" w:rsidRPr="00B10D9E" w:rsidRDefault="00B10D9E" w:rsidP="00993498">
      <w:pPr>
        <w:pStyle w:val="ListParagraph"/>
        <w:widowControl w:val="0"/>
        <w:numPr>
          <w:ilvl w:val="0"/>
          <w:numId w:val="1"/>
        </w:numPr>
        <w:tabs>
          <w:tab w:val="left" w:pos="220"/>
          <w:tab w:val="left" w:pos="720"/>
        </w:tabs>
        <w:autoSpaceDE w:val="0"/>
        <w:autoSpaceDN w:val="0"/>
        <w:adjustRightInd w:val="0"/>
        <w:spacing w:line="276" w:lineRule="auto"/>
        <w:rPr>
          <w:rFonts w:cs="Arial"/>
          <w:sz w:val="22"/>
          <w:szCs w:val="22"/>
        </w:rPr>
      </w:pPr>
      <w:r>
        <w:rPr>
          <w:rFonts w:cs="Arial"/>
          <w:b/>
          <w:sz w:val="22"/>
          <w:szCs w:val="22"/>
        </w:rPr>
        <w:t xml:space="preserve">Correspondence management </w:t>
      </w:r>
    </w:p>
    <w:p w:rsidR="007F0B03" w:rsidRDefault="007F0B03" w:rsidP="00993498">
      <w:pPr>
        <w:pStyle w:val="ListParagraph"/>
        <w:widowControl w:val="0"/>
        <w:numPr>
          <w:ilvl w:val="0"/>
          <w:numId w:val="8"/>
        </w:numPr>
        <w:tabs>
          <w:tab w:val="left" w:pos="220"/>
          <w:tab w:val="left" w:pos="720"/>
        </w:tabs>
        <w:autoSpaceDE w:val="0"/>
        <w:autoSpaceDN w:val="0"/>
        <w:adjustRightInd w:val="0"/>
        <w:spacing w:line="276" w:lineRule="auto"/>
        <w:rPr>
          <w:rFonts w:cs="Arial"/>
          <w:sz w:val="22"/>
          <w:szCs w:val="22"/>
        </w:rPr>
      </w:pPr>
      <w:r>
        <w:rPr>
          <w:rFonts w:cs="Arial"/>
          <w:sz w:val="22"/>
          <w:szCs w:val="22"/>
        </w:rPr>
        <w:t>Workshops completed with the admin staff and GPs during March 2018</w:t>
      </w:r>
    </w:p>
    <w:p w:rsidR="00B10D9E" w:rsidRDefault="007F0B03" w:rsidP="00993498">
      <w:pPr>
        <w:pStyle w:val="ListParagraph"/>
        <w:widowControl w:val="0"/>
        <w:numPr>
          <w:ilvl w:val="0"/>
          <w:numId w:val="8"/>
        </w:numPr>
        <w:tabs>
          <w:tab w:val="left" w:pos="220"/>
          <w:tab w:val="left" w:pos="720"/>
        </w:tabs>
        <w:autoSpaceDE w:val="0"/>
        <w:autoSpaceDN w:val="0"/>
        <w:adjustRightInd w:val="0"/>
        <w:spacing w:line="276" w:lineRule="auto"/>
        <w:rPr>
          <w:rFonts w:cs="Arial"/>
          <w:sz w:val="22"/>
          <w:szCs w:val="22"/>
        </w:rPr>
      </w:pPr>
      <w:r>
        <w:rPr>
          <w:rFonts w:cs="Arial"/>
          <w:sz w:val="22"/>
          <w:szCs w:val="22"/>
        </w:rPr>
        <w:t>The practices attended the LLR workshop in April 2018</w:t>
      </w:r>
      <w:r w:rsidR="00B10D9E">
        <w:rPr>
          <w:rFonts w:cs="Arial"/>
          <w:sz w:val="22"/>
          <w:szCs w:val="22"/>
        </w:rPr>
        <w:t>.</w:t>
      </w:r>
    </w:p>
    <w:p w:rsidR="002337B5" w:rsidRPr="007F0B03" w:rsidRDefault="007F0B03" w:rsidP="00FA1A60">
      <w:pPr>
        <w:pStyle w:val="ListParagraph"/>
        <w:widowControl w:val="0"/>
        <w:numPr>
          <w:ilvl w:val="0"/>
          <w:numId w:val="8"/>
        </w:numPr>
        <w:tabs>
          <w:tab w:val="left" w:pos="220"/>
          <w:tab w:val="left" w:pos="720"/>
        </w:tabs>
        <w:autoSpaceDE w:val="0"/>
        <w:autoSpaceDN w:val="0"/>
        <w:adjustRightInd w:val="0"/>
        <w:spacing w:line="276" w:lineRule="auto"/>
        <w:rPr>
          <w:rFonts w:cs="Arial"/>
          <w:b/>
          <w:sz w:val="22"/>
          <w:szCs w:val="22"/>
          <w:lang w:val="en-GB"/>
        </w:rPr>
      </w:pPr>
      <w:r w:rsidRPr="007F0B03">
        <w:rPr>
          <w:rFonts w:cs="Arial"/>
          <w:sz w:val="22"/>
          <w:szCs w:val="22"/>
        </w:rPr>
        <w:t>Contract</w:t>
      </w:r>
      <w:r w:rsidR="00FC57E7" w:rsidRPr="007F0B03">
        <w:rPr>
          <w:rFonts w:cs="Arial"/>
          <w:sz w:val="22"/>
          <w:szCs w:val="22"/>
        </w:rPr>
        <w:t xml:space="preserve"> finalized.  </w:t>
      </w:r>
    </w:p>
    <w:p w:rsidR="007F0B03" w:rsidRPr="007F0B03" w:rsidRDefault="007F0B03" w:rsidP="00FA1A60">
      <w:pPr>
        <w:pStyle w:val="ListParagraph"/>
        <w:widowControl w:val="0"/>
        <w:numPr>
          <w:ilvl w:val="0"/>
          <w:numId w:val="8"/>
        </w:numPr>
        <w:tabs>
          <w:tab w:val="left" w:pos="220"/>
          <w:tab w:val="left" w:pos="720"/>
        </w:tabs>
        <w:autoSpaceDE w:val="0"/>
        <w:autoSpaceDN w:val="0"/>
        <w:adjustRightInd w:val="0"/>
        <w:spacing w:line="276" w:lineRule="auto"/>
        <w:rPr>
          <w:rFonts w:cs="Arial"/>
          <w:b/>
          <w:sz w:val="22"/>
          <w:szCs w:val="22"/>
          <w:lang w:val="en-GB"/>
        </w:rPr>
      </w:pPr>
      <w:r>
        <w:rPr>
          <w:rFonts w:cs="Arial"/>
          <w:sz w:val="22"/>
          <w:szCs w:val="22"/>
          <w:lang w:val="en-GB"/>
        </w:rPr>
        <w:t>Project plan in place to ensure that the seven practices are implementing correspondence management process</w:t>
      </w:r>
    </w:p>
    <w:p w:rsidR="007F0B03" w:rsidRPr="007F0B03" w:rsidRDefault="007F0B03" w:rsidP="007F0B03">
      <w:pPr>
        <w:widowControl w:val="0"/>
        <w:tabs>
          <w:tab w:val="left" w:pos="220"/>
          <w:tab w:val="left" w:pos="720"/>
        </w:tabs>
        <w:autoSpaceDE w:val="0"/>
        <w:autoSpaceDN w:val="0"/>
        <w:adjustRightInd w:val="0"/>
        <w:spacing w:line="276" w:lineRule="auto"/>
        <w:rPr>
          <w:rFonts w:cs="Arial"/>
          <w:b/>
          <w:sz w:val="22"/>
          <w:szCs w:val="22"/>
          <w:lang w:val="en-GB"/>
        </w:rPr>
      </w:pPr>
    </w:p>
    <w:p w:rsidR="00B330BE" w:rsidRPr="00FE543E" w:rsidRDefault="00B330BE" w:rsidP="00993498">
      <w:pPr>
        <w:pStyle w:val="ListParagraph"/>
        <w:widowControl w:val="0"/>
        <w:numPr>
          <w:ilvl w:val="0"/>
          <w:numId w:val="1"/>
        </w:numPr>
        <w:tabs>
          <w:tab w:val="left" w:pos="220"/>
          <w:tab w:val="left" w:pos="720"/>
        </w:tabs>
        <w:autoSpaceDE w:val="0"/>
        <w:autoSpaceDN w:val="0"/>
        <w:adjustRightInd w:val="0"/>
        <w:spacing w:line="276" w:lineRule="auto"/>
        <w:rPr>
          <w:rFonts w:cs="Arial"/>
          <w:sz w:val="22"/>
          <w:szCs w:val="22"/>
        </w:rPr>
      </w:pPr>
      <w:r>
        <w:rPr>
          <w:rFonts w:cs="Arial"/>
          <w:b/>
          <w:sz w:val="22"/>
          <w:szCs w:val="22"/>
        </w:rPr>
        <w:t>Demand Management</w:t>
      </w:r>
    </w:p>
    <w:p w:rsidR="00FA1A60" w:rsidRDefault="00FC57E7" w:rsidP="00993498">
      <w:pPr>
        <w:pStyle w:val="ListParagraph"/>
        <w:numPr>
          <w:ilvl w:val="0"/>
          <w:numId w:val="9"/>
        </w:numPr>
        <w:spacing w:line="276" w:lineRule="auto"/>
        <w:rPr>
          <w:rFonts w:cs="Arial"/>
          <w:sz w:val="22"/>
          <w:szCs w:val="22"/>
        </w:rPr>
      </w:pPr>
      <w:r>
        <w:rPr>
          <w:rFonts w:cs="Arial"/>
          <w:sz w:val="22"/>
          <w:szCs w:val="22"/>
        </w:rPr>
        <w:t>T</w:t>
      </w:r>
      <w:r w:rsidR="00FA1A60" w:rsidRPr="00FA1A60">
        <w:rPr>
          <w:rFonts w:cs="Arial"/>
          <w:sz w:val="22"/>
          <w:szCs w:val="22"/>
        </w:rPr>
        <w:t xml:space="preserve">he Federation </w:t>
      </w:r>
      <w:r>
        <w:rPr>
          <w:rFonts w:cs="Arial"/>
          <w:sz w:val="22"/>
          <w:szCs w:val="22"/>
        </w:rPr>
        <w:t>facilitated</w:t>
      </w:r>
      <w:r w:rsidR="00FA1A60" w:rsidRPr="00FA1A60">
        <w:rPr>
          <w:rFonts w:cs="Arial"/>
          <w:sz w:val="22"/>
          <w:szCs w:val="22"/>
        </w:rPr>
        <w:t xml:space="preserve"> the peer review sessions at the Loca</w:t>
      </w:r>
      <w:r>
        <w:rPr>
          <w:rFonts w:cs="Arial"/>
          <w:sz w:val="22"/>
          <w:szCs w:val="22"/>
        </w:rPr>
        <w:t xml:space="preserve">lity meetings in January </w:t>
      </w:r>
      <w:r w:rsidR="007F0B03">
        <w:rPr>
          <w:rFonts w:cs="Arial"/>
          <w:sz w:val="22"/>
          <w:szCs w:val="22"/>
        </w:rPr>
        <w:t xml:space="preserve">and April </w:t>
      </w:r>
      <w:r>
        <w:rPr>
          <w:rFonts w:cs="Arial"/>
          <w:sz w:val="22"/>
          <w:szCs w:val="22"/>
        </w:rPr>
        <w:t>2018.</w:t>
      </w:r>
    </w:p>
    <w:p w:rsidR="00FC57E7" w:rsidRDefault="00FC57E7" w:rsidP="00993498">
      <w:pPr>
        <w:pStyle w:val="ListParagraph"/>
        <w:numPr>
          <w:ilvl w:val="0"/>
          <w:numId w:val="9"/>
        </w:numPr>
        <w:spacing w:line="276" w:lineRule="auto"/>
        <w:rPr>
          <w:rFonts w:cs="Arial"/>
          <w:sz w:val="22"/>
          <w:szCs w:val="22"/>
        </w:rPr>
      </w:pPr>
      <w:r>
        <w:rPr>
          <w:rFonts w:cs="Arial"/>
          <w:sz w:val="22"/>
          <w:szCs w:val="22"/>
        </w:rPr>
        <w:t>Report is being drafted.</w:t>
      </w:r>
    </w:p>
    <w:p w:rsidR="00FC57E7" w:rsidRDefault="007F0B03" w:rsidP="00993498">
      <w:pPr>
        <w:pStyle w:val="ListParagraph"/>
        <w:numPr>
          <w:ilvl w:val="0"/>
          <w:numId w:val="9"/>
        </w:numPr>
        <w:spacing w:line="276" w:lineRule="auto"/>
        <w:rPr>
          <w:rFonts w:cs="Arial"/>
          <w:sz w:val="22"/>
          <w:szCs w:val="22"/>
        </w:rPr>
      </w:pPr>
      <w:r>
        <w:rPr>
          <w:rFonts w:cs="Arial"/>
          <w:sz w:val="22"/>
          <w:szCs w:val="22"/>
        </w:rPr>
        <w:t>Review meeting with CCG has been postponed until May 2018.</w:t>
      </w:r>
    </w:p>
    <w:p w:rsidR="00FA1A60" w:rsidRPr="00FA1A60" w:rsidRDefault="00FC57E7" w:rsidP="00993498">
      <w:pPr>
        <w:pStyle w:val="ListParagraph"/>
        <w:numPr>
          <w:ilvl w:val="0"/>
          <w:numId w:val="9"/>
        </w:numPr>
        <w:spacing w:line="276" w:lineRule="auto"/>
        <w:rPr>
          <w:rFonts w:cs="Arial"/>
          <w:sz w:val="22"/>
          <w:szCs w:val="22"/>
        </w:rPr>
      </w:pPr>
      <w:r>
        <w:rPr>
          <w:rFonts w:cs="Arial"/>
          <w:sz w:val="22"/>
          <w:szCs w:val="22"/>
        </w:rPr>
        <w:t>Awaiting confirmation of funding @ 10p/patient for FY18/19.</w:t>
      </w:r>
    </w:p>
    <w:p w:rsidR="00FA1A60" w:rsidRDefault="00FA1A60" w:rsidP="00FA1A60">
      <w:pPr>
        <w:spacing w:line="276" w:lineRule="auto"/>
        <w:rPr>
          <w:rFonts w:cs="Arial"/>
          <w:sz w:val="22"/>
          <w:szCs w:val="22"/>
        </w:rPr>
      </w:pPr>
    </w:p>
    <w:p w:rsidR="00946044" w:rsidRDefault="00525FB6" w:rsidP="00993498">
      <w:pPr>
        <w:pStyle w:val="ListParagraph"/>
        <w:widowControl w:val="0"/>
        <w:numPr>
          <w:ilvl w:val="0"/>
          <w:numId w:val="1"/>
        </w:numPr>
        <w:tabs>
          <w:tab w:val="left" w:pos="220"/>
          <w:tab w:val="left" w:pos="720"/>
        </w:tabs>
        <w:autoSpaceDE w:val="0"/>
        <w:autoSpaceDN w:val="0"/>
        <w:adjustRightInd w:val="0"/>
        <w:spacing w:line="276" w:lineRule="auto"/>
        <w:rPr>
          <w:b/>
          <w:color w:val="333333"/>
          <w:sz w:val="22"/>
          <w:szCs w:val="22"/>
        </w:rPr>
      </w:pPr>
      <w:r w:rsidRPr="00E20DEB">
        <w:rPr>
          <w:b/>
          <w:color w:val="333333"/>
          <w:sz w:val="22"/>
          <w:szCs w:val="22"/>
        </w:rPr>
        <w:t>Diabetes nurse specialists</w:t>
      </w:r>
    </w:p>
    <w:p w:rsidR="00946044" w:rsidRPr="00946044" w:rsidRDefault="00946044" w:rsidP="00993498">
      <w:pPr>
        <w:pStyle w:val="ListParagraph"/>
        <w:widowControl w:val="0"/>
        <w:numPr>
          <w:ilvl w:val="0"/>
          <w:numId w:val="11"/>
        </w:numPr>
        <w:tabs>
          <w:tab w:val="left" w:pos="220"/>
          <w:tab w:val="left" w:pos="720"/>
        </w:tabs>
        <w:autoSpaceDE w:val="0"/>
        <w:autoSpaceDN w:val="0"/>
        <w:adjustRightInd w:val="0"/>
        <w:spacing w:line="276" w:lineRule="auto"/>
        <w:rPr>
          <w:color w:val="333333"/>
          <w:sz w:val="22"/>
          <w:szCs w:val="22"/>
        </w:rPr>
      </w:pPr>
      <w:r w:rsidRPr="00946044">
        <w:rPr>
          <w:color w:val="333333"/>
          <w:sz w:val="22"/>
          <w:szCs w:val="22"/>
        </w:rPr>
        <w:t>Scheme to provide DSN support to 29 LLR practices identified with needing assistance with diabetes management</w:t>
      </w:r>
      <w:r>
        <w:rPr>
          <w:color w:val="333333"/>
          <w:sz w:val="22"/>
          <w:szCs w:val="22"/>
        </w:rPr>
        <w:t>.</w:t>
      </w:r>
      <w:r w:rsidR="00FC57E7">
        <w:rPr>
          <w:color w:val="333333"/>
          <w:sz w:val="22"/>
          <w:szCs w:val="22"/>
        </w:rPr>
        <w:t xml:space="preserve">  Budget @ approx. £80K for FY18/19.</w:t>
      </w:r>
    </w:p>
    <w:p w:rsidR="00FC57E7" w:rsidRPr="007F0B03" w:rsidRDefault="00FC57E7" w:rsidP="00993498">
      <w:pPr>
        <w:pStyle w:val="ListParagraph"/>
        <w:widowControl w:val="0"/>
        <w:numPr>
          <w:ilvl w:val="0"/>
          <w:numId w:val="11"/>
        </w:numPr>
        <w:tabs>
          <w:tab w:val="left" w:pos="220"/>
          <w:tab w:val="left" w:pos="720"/>
        </w:tabs>
        <w:autoSpaceDE w:val="0"/>
        <w:autoSpaceDN w:val="0"/>
        <w:adjustRightInd w:val="0"/>
        <w:spacing w:line="276" w:lineRule="auto"/>
        <w:rPr>
          <w:b/>
          <w:color w:val="333333"/>
          <w:sz w:val="22"/>
          <w:szCs w:val="22"/>
        </w:rPr>
      </w:pPr>
      <w:r>
        <w:rPr>
          <w:color w:val="333333"/>
          <w:sz w:val="22"/>
          <w:szCs w:val="22"/>
        </w:rPr>
        <w:t>Implementing with Latham House, with support from Diabetes Centre (Laura Willcocks)</w:t>
      </w:r>
    </w:p>
    <w:p w:rsidR="007F0B03" w:rsidRPr="00FC57E7" w:rsidRDefault="007F0B03" w:rsidP="00993498">
      <w:pPr>
        <w:pStyle w:val="ListParagraph"/>
        <w:widowControl w:val="0"/>
        <w:numPr>
          <w:ilvl w:val="0"/>
          <w:numId w:val="11"/>
        </w:numPr>
        <w:tabs>
          <w:tab w:val="left" w:pos="220"/>
          <w:tab w:val="left" w:pos="720"/>
        </w:tabs>
        <w:autoSpaceDE w:val="0"/>
        <w:autoSpaceDN w:val="0"/>
        <w:adjustRightInd w:val="0"/>
        <w:spacing w:line="276" w:lineRule="auto"/>
        <w:rPr>
          <w:b/>
          <w:color w:val="333333"/>
          <w:sz w:val="22"/>
          <w:szCs w:val="22"/>
        </w:rPr>
      </w:pPr>
      <w:r>
        <w:rPr>
          <w:color w:val="333333"/>
          <w:sz w:val="22"/>
          <w:szCs w:val="22"/>
        </w:rPr>
        <w:t>Three DSNs have been appointed.  Finalising the employment checks with Latham House and plan to start in May 2018.</w:t>
      </w:r>
    </w:p>
    <w:p w:rsidR="00946044" w:rsidRPr="00FC57E7" w:rsidRDefault="00FC57E7" w:rsidP="00993498">
      <w:pPr>
        <w:pStyle w:val="ListParagraph"/>
        <w:widowControl w:val="0"/>
        <w:numPr>
          <w:ilvl w:val="0"/>
          <w:numId w:val="11"/>
        </w:numPr>
        <w:tabs>
          <w:tab w:val="left" w:pos="220"/>
          <w:tab w:val="left" w:pos="720"/>
        </w:tabs>
        <w:autoSpaceDE w:val="0"/>
        <w:autoSpaceDN w:val="0"/>
        <w:adjustRightInd w:val="0"/>
        <w:spacing w:line="276" w:lineRule="auto"/>
        <w:rPr>
          <w:b/>
          <w:color w:val="333333"/>
          <w:sz w:val="22"/>
          <w:szCs w:val="22"/>
        </w:rPr>
      </w:pPr>
      <w:r>
        <w:rPr>
          <w:color w:val="333333"/>
          <w:sz w:val="22"/>
          <w:szCs w:val="22"/>
        </w:rPr>
        <w:t xml:space="preserve">Anne Scott </w:t>
      </w:r>
      <w:r w:rsidR="00946044" w:rsidRPr="00FC57E7">
        <w:rPr>
          <w:color w:val="333333"/>
          <w:sz w:val="22"/>
          <w:szCs w:val="22"/>
        </w:rPr>
        <w:t xml:space="preserve">(ELR CCG) </w:t>
      </w:r>
      <w:r w:rsidR="00BC1B31">
        <w:rPr>
          <w:color w:val="333333"/>
          <w:sz w:val="22"/>
          <w:szCs w:val="22"/>
        </w:rPr>
        <w:t>has agreed to assist</w:t>
      </w:r>
      <w:r w:rsidR="00946044" w:rsidRPr="00FC57E7">
        <w:rPr>
          <w:color w:val="333333"/>
          <w:sz w:val="22"/>
          <w:szCs w:val="22"/>
        </w:rPr>
        <w:t xml:space="preserve"> with implementing a clinical governance process to assure this scheme.</w:t>
      </w:r>
      <w:r w:rsidR="00BC1B31">
        <w:rPr>
          <w:color w:val="333333"/>
          <w:sz w:val="22"/>
          <w:szCs w:val="22"/>
        </w:rPr>
        <w:t xml:space="preserve">  </w:t>
      </w:r>
      <w:r w:rsidR="00BC1B31" w:rsidRPr="00BC1B31">
        <w:rPr>
          <w:b/>
          <w:color w:val="333333"/>
          <w:sz w:val="22"/>
          <w:szCs w:val="22"/>
        </w:rPr>
        <w:t>JW/GC to action.</w:t>
      </w:r>
    </w:p>
    <w:p w:rsidR="00525FB6" w:rsidRPr="00E20DEB" w:rsidRDefault="00525FB6" w:rsidP="00525FB6">
      <w:pPr>
        <w:pStyle w:val="ListParagraph"/>
        <w:widowControl w:val="0"/>
        <w:tabs>
          <w:tab w:val="left" w:pos="220"/>
          <w:tab w:val="left" w:pos="720"/>
        </w:tabs>
        <w:autoSpaceDE w:val="0"/>
        <w:autoSpaceDN w:val="0"/>
        <w:adjustRightInd w:val="0"/>
        <w:ind w:left="360"/>
        <w:rPr>
          <w:b/>
          <w:color w:val="333333"/>
          <w:sz w:val="22"/>
          <w:szCs w:val="22"/>
        </w:rPr>
      </w:pPr>
    </w:p>
    <w:p w:rsidR="00BC1B31" w:rsidRDefault="00BC1B31" w:rsidP="00BC1B31">
      <w:pPr>
        <w:pStyle w:val="ListParagraph"/>
        <w:widowControl w:val="0"/>
        <w:numPr>
          <w:ilvl w:val="0"/>
          <w:numId w:val="1"/>
        </w:numPr>
        <w:tabs>
          <w:tab w:val="left" w:pos="220"/>
          <w:tab w:val="left" w:pos="720"/>
        </w:tabs>
        <w:autoSpaceDE w:val="0"/>
        <w:autoSpaceDN w:val="0"/>
        <w:adjustRightInd w:val="0"/>
        <w:spacing w:before="240"/>
        <w:rPr>
          <w:rFonts w:cs="Arial"/>
          <w:b/>
          <w:sz w:val="22"/>
          <w:szCs w:val="22"/>
        </w:rPr>
      </w:pPr>
      <w:r>
        <w:rPr>
          <w:rFonts w:cs="Arial"/>
          <w:b/>
          <w:sz w:val="22"/>
          <w:szCs w:val="22"/>
        </w:rPr>
        <w:t>Rutland Patient App project (VitruCare)</w:t>
      </w:r>
    </w:p>
    <w:p w:rsidR="00BC1B31" w:rsidRDefault="00BC1B31" w:rsidP="00BC1B31">
      <w:pPr>
        <w:pStyle w:val="ListParagraph"/>
        <w:widowControl w:val="0"/>
        <w:numPr>
          <w:ilvl w:val="0"/>
          <w:numId w:val="10"/>
        </w:numPr>
        <w:tabs>
          <w:tab w:val="left" w:pos="220"/>
          <w:tab w:val="left" w:pos="720"/>
        </w:tabs>
        <w:autoSpaceDE w:val="0"/>
        <w:autoSpaceDN w:val="0"/>
        <w:adjustRightInd w:val="0"/>
        <w:spacing w:before="240"/>
        <w:rPr>
          <w:rFonts w:cs="Arial"/>
          <w:sz w:val="22"/>
          <w:szCs w:val="22"/>
        </w:rPr>
      </w:pPr>
      <w:r>
        <w:rPr>
          <w:rFonts w:cs="Arial"/>
          <w:sz w:val="22"/>
          <w:szCs w:val="22"/>
        </w:rPr>
        <w:t>Contract agreed with Dynamic Health Systems Services</w:t>
      </w:r>
    </w:p>
    <w:p w:rsidR="00BC1B31" w:rsidRDefault="00BC1B31" w:rsidP="00BC1B31">
      <w:pPr>
        <w:pStyle w:val="ListParagraph"/>
        <w:widowControl w:val="0"/>
        <w:numPr>
          <w:ilvl w:val="0"/>
          <w:numId w:val="10"/>
        </w:numPr>
        <w:tabs>
          <w:tab w:val="left" w:pos="220"/>
          <w:tab w:val="left" w:pos="720"/>
        </w:tabs>
        <w:autoSpaceDE w:val="0"/>
        <w:autoSpaceDN w:val="0"/>
        <w:adjustRightInd w:val="0"/>
        <w:spacing w:before="240"/>
        <w:rPr>
          <w:rFonts w:cs="Arial"/>
          <w:sz w:val="22"/>
          <w:szCs w:val="22"/>
        </w:rPr>
      </w:pPr>
      <w:r>
        <w:rPr>
          <w:rFonts w:cs="Arial"/>
          <w:sz w:val="22"/>
          <w:szCs w:val="22"/>
        </w:rPr>
        <w:t xml:space="preserve">Grant </w:t>
      </w:r>
      <w:r>
        <w:rPr>
          <w:rFonts w:cs="Arial"/>
          <w:sz w:val="22"/>
          <w:szCs w:val="22"/>
        </w:rPr>
        <w:t xml:space="preserve">agreement with RCC </w:t>
      </w:r>
      <w:r w:rsidR="00E66841">
        <w:rPr>
          <w:rFonts w:cs="Arial"/>
          <w:sz w:val="22"/>
          <w:szCs w:val="22"/>
        </w:rPr>
        <w:t xml:space="preserve">has been signed.  </w:t>
      </w:r>
    </w:p>
    <w:p w:rsidR="00E66841" w:rsidRDefault="00E66841" w:rsidP="00BC1B31">
      <w:pPr>
        <w:pStyle w:val="ListParagraph"/>
        <w:widowControl w:val="0"/>
        <w:numPr>
          <w:ilvl w:val="0"/>
          <w:numId w:val="10"/>
        </w:numPr>
        <w:tabs>
          <w:tab w:val="left" w:pos="220"/>
          <w:tab w:val="left" w:pos="720"/>
        </w:tabs>
        <w:autoSpaceDE w:val="0"/>
        <w:autoSpaceDN w:val="0"/>
        <w:adjustRightInd w:val="0"/>
        <w:spacing w:before="240"/>
        <w:rPr>
          <w:rFonts w:cs="Arial"/>
          <w:sz w:val="22"/>
          <w:szCs w:val="22"/>
        </w:rPr>
      </w:pPr>
      <w:r>
        <w:rPr>
          <w:rFonts w:cs="Arial"/>
          <w:sz w:val="22"/>
          <w:szCs w:val="22"/>
        </w:rPr>
        <w:t>Develop sub-contract agreements with practices.</w:t>
      </w:r>
      <w:bookmarkStart w:id="0" w:name="_GoBack"/>
      <w:bookmarkEnd w:id="0"/>
    </w:p>
    <w:p w:rsidR="00BC1B31" w:rsidRPr="00E66841" w:rsidRDefault="00E66841" w:rsidP="00BC1B31">
      <w:pPr>
        <w:pStyle w:val="ListParagraph"/>
        <w:widowControl w:val="0"/>
        <w:numPr>
          <w:ilvl w:val="0"/>
          <w:numId w:val="10"/>
        </w:numPr>
        <w:tabs>
          <w:tab w:val="left" w:pos="220"/>
          <w:tab w:val="left" w:pos="720"/>
        </w:tabs>
        <w:autoSpaceDE w:val="0"/>
        <w:autoSpaceDN w:val="0"/>
        <w:adjustRightInd w:val="0"/>
        <w:spacing w:before="240"/>
        <w:rPr>
          <w:rFonts w:cs="Arial"/>
          <w:sz w:val="22"/>
          <w:szCs w:val="22"/>
        </w:rPr>
      </w:pPr>
      <w:r>
        <w:rPr>
          <w:rFonts w:cs="Arial"/>
          <w:sz w:val="22"/>
          <w:szCs w:val="22"/>
        </w:rPr>
        <w:t>A</w:t>
      </w:r>
      <w:r w:rsidR="00BC1B31" w:rsidRPr="00E66841">
        <w:rPr>
          <w:rFonts w:cs="Arial"/>
          <w:sz w:val="22"/>
          <w:szCs w:val="22"/>
        </w:rPr>
        <w:t>ll practices confirmed their commitment</w:t>
      </w:r>
      <w:r>
        <w:rPr>
          <w:rFonts w:cs="Arial"/>
          <w:sz w:val="22"/>
          <w:szCs w:val="22"/>
        </w:rPr>
        <w:t xml:space="preserve"> to the project and project management structure is in place.</w:t>
      </w:r>
    </w:p>
    <w:p w:rsidR="00BC1B31" w:rsidRPr="00BC1B31" w:rsidRDefault="00BC1B31" w:rsidP="00BC1B31">
      <w:pPr>
        <w:pStyle w:val="ListParagraph"/>
        <w:widowControl w:val="0"/>
        <w:tabs>
          <w:tab w:val="left" w:pos="220"/>
          <w:tab w:val="left" w:pos="720"/>
        </w:tabs>
        <w:autoSpaceDE w:val="0"/>
        <w:autoSpaceDN w:val="0"/>
        <w:adjustRightInd w:val="0"/>
        <w:ind w:left="360"/>
        <w:rPr>
          <w:rFonts w:cs="Arial"/>
          <w:sz w:val="22"/>
          <w:szCs w:val="22"/>
        </w:rPr>
      </w:pPr>
    </w:p>
    <w:p w:rsidR="00E66841" w:rsidRPr="00E66841" w:rsidRDefault="00BC1B31" w:rsidP="00993498">
      <w:pPr>
        <w:pStyle w:val="ListParagraph"/>
        <w:widowControl w:val="0"/>
        <w:numPr>
          <w:ilvl w:val="0"/>
          <w:numId w:val="1"/>
        </w:numPr>
        <w:tabs>
          <w:tab w:val="left" w:pos="220"/>
          <w:tab w:val="left" w:pos="720"/>
        </w:tabs>
        <w:autoSpaceDE w:val="0"/>
        <w:autoSpaceDN w:val="0"/>
        <w:adjustRightInd w:val="0"/>
        <w:rPr>
          <w:rFonts w:cs="Arial"/>
          <w:sz w:val="22"/>
          <w:szCs w:val="22"/>
        </w:rPr>
      </w:pPr>
      <w:r w:rsidRPr="007D0A1E">
        <w:rPr>
          <w:rFonts w:cs="Arial"/>
          <w:b/>
          <w:sz w:val="22"/>
          <w:szCs w:val="22"/>
        </w:rPr>
        <w:lastRenderedPageBreak/>
        <w:t xml:space="preserve">GP TeamNet  - </w:t>
      </w:r>
      <w:r w:rsidRPr="007D0A1E">
        <w:rPr>
          <w:rFonts w:cs="Arial"/>
          <w:sz w:val="22"/>
          <w:szCs w:val="22"/>
        </w:rPr>
        <w:t xml:space="preserve">This is an option </w:t>
      </w:r>
      <w:r>
        <w:rPr>
          <w:rFonts w:cs="Arial"/>
          <w:sz w:val="22"/>
          <w:szCs w:val="22"/>
        </w:rPr>
        <w:t>being explored by the Harborough</w:t>
      </w:r>
      <w:r w:rsidR="00E66841">
        <w:rPr>
          <w:rFonts w:cs="Arial"/>
          <w:sz w:val="22"/>
          <w:szCs w:val="22"/>
        </w:rPr>
        <w:t>, SLAM and Rutland Localities.</w:t>
      </w:r>
      <w:r>
        <w:rPr>
          <w:rFonts w:cs="Arial"/>
          <w:b/>
          <w:sz w:val="22"/>
          <w:szCs w:val="22"/>
        </w:rPr>
        <w:t xml:space="preserve"> </w:t>
      </w:r>
    </w:p>
    <w:p w:rsidR="00E66841" w:rsidRPr="00E66841" w:rsidRDefault="00E66841" w:rsidP="00E66841">
      <w:pPr>
        <w:pStyle w:val="ListParagraph"/>
        <w:widowControl w:val="0"/>
        <w:tabs>
          <w:tab w:val="left" w:pos="220"/>
          <w:tab w:val="left" w:pos="720"/>
        </w:tabs>
        <w:autoSpaceDE w:val="0"/>
        <w:autoSpaceDN w:val="0"/>
        <w:adjustRightInd w:val="0"/>
        <w:ind w:left="360"/>
        <w:rPr>
          <w:rFonts w:cs="Arial"/>
          <w:sz w:val="22"/>
          <w:szCs w:val="22"/>
        </w:rPr>
      </w:pPr>
    </w:p>
    <w:p w:rsidR="00E66841" w:rsidRPr="00E66841" w:rsidRDefault="00E66841" w:rsidP="00E66841">
      <w:pPr>
        <w:pStyle w:val="ListParagraph"/>
        <w:widowControl w:val="0"/>
        <w:numPr>
          <w:ilvl w:val="0"/>
          <w:numId w:val="1"/>
        </w:numPr>
        <w:tabs>
          <w:tab w:val="left" w:pos="220"/>
          <w:tab w:val="left" w:pos="720"/>
        </w:tabs>
        <w:autoSpaceDE w:val="0"/>
        <w:autoSpaceDN w:val="0"/>
        <w:adjustRightInd w:val="0"/>
        <w:spacing w:before="240"/>
        <w:rPr>
          <w:rFonts w:cs="Arial"/>
          <w:b/>
          <w:sz w:val="22"/>
          <w:szCs w:val="22"/>
        </w:rPr>
      </w:pPr>
      <w:r w:rsidRPr="00B330BE">
        <w:rPr>
          <w:rFonts w:cs="Arial"/>
          <w:b/>
          <w:sz w:val="22"/>
          <w:szCs w:val="22"/>
        </w:rPr>
        <w:t>Service contracts</w:t>
      </w:r>
      <w:r>
        <w:rPr>
          <w:rFonts w:cs="Arial"/>
          <w:b/>
          <w:sz w:val="22"/>
          <w:szCs w:val="22"/>
        </w:rPr>
        <w:t xml:space="preserve"> –</w:t>
      </w:r>
      <w:r w:rsidRPr="00E66841">
        <w:rPr>
          <w:rFonts w:cs="Arial"/>
          <w:sz w:val="22"/>
          <w:szCs w:val="22"/>
        </w:rPr>
        <w:t>ELR CCG / LLR PCL have confirmed that H</w:t>
      </w:r>
      <w:r>
        <w:rPr>
          <w:rFonts w:cs="Arial"/>
          <w:sz w:val="22"/>
          <w:szCs w:val="22"/>
        </w:rPr>
        <w:t xml:space="preserve"> Pylori, </w:t>
      </w:r>
      <w:r>
        <w:rPr>
          <w:rFonts w:cs="Arial"/>
          <w:sz w:val="22"/>
          <w:szCs w:val="22"/>
        </w:rPr>
        <w:t xml:space="preserve">will be procured via the Federation.  Arrangements to be put in place for a June 2018 start. </w:t>
      </w:r>
    </w:p>
    <w:p w:rsidR="00E66841" w:rsidRPr="00E66841" w:rsidRDefault="00E66841" w:rsidP="00E66841">
      <w:pPr>
        <w:pStyle w:val="ListParagraph"/>
        <w:rPr>
          <w:rFonts w:cs="Arial"/>
          <w:b/>
          <w:sz w:val="22"/>
          <w:szCs w:val="22"/>
        </w:rPr>
      </w:pPr>
    </w:p>
    <w:p w:rsidR="00FC57E7" w:rsidRPr="00E66841" w:rsidRDefault="00B330BE" w:rsidP="00E66841">
      <w:pPr>
        <w:pStyle w:val="ListParagraph"/>
        <w:widowControl w:val="0"/>
        <w:numPr>
          <w:ilvl w:val="0"/>
          <w:numId w:val="1"/>
        </w:numPr>
        <w:tabs>
          <w:tab w:val="left" w:pos="220"/>
          <w:tab w:val="left" w:pos="720"/>
        </w:tabs>
        <w:autoSpaceDE w:val="0"/>
        <w:autoSpaceDN w:val="0"/>
        <w:adjustRightInd w:val="0"/>
        <w:rPr>
          <w:rFonts w:cs="Arial"/>
          <w:sz w:val="22"/>
          <w:szCs w:val="22"/>
        </w:rPr>
      </w:pPr>
      <w:r>
        <w:rPr>
          <w:rFonts w:cs="Arial"/>
          <w:b/>
          <w:sz w:val="22"/>
          <w:szCs w:val="22"/>
        </w:rPr>
        <w:t>Buildings management offer</w:t>
      </w:r>
      <w:r w:rsidR="00E66841">
        <w:rPr>
          <w:rFonts w:cs="Arial"/>
          <w:b/>
          <w:sz w:val="22"/>
          <w:szCs w:val="22"/>
        </w:rPr>
        <w:t xml:space="preserve"> - </w:t>
      </w:r>
      <w:r w:rsidR="00C83DEF" w:rsidRPr="00E66841">
        <w:rPr>
          <w:rFonts w:cs="Arial"/>
          <w:sz w:val="22"/>
          <w:szCs w:val="22"/>
        </w:rPr>
        <w:t>Estates Strategy Group</w:t>
      </w:r>
      <w:r w:rsidR="00692F65" w:rsidRPr="00E66841">
        <w:rPr>
          <w:rFonts w:cs="Arial"/>
          <w:sz w:val="22"/>
          <w:szCs w:val="22"/>
        </w:rPr>
        <w:t xml:space="preserve"> </w:t>
      </w:r>
      <w:r w:rsidR="00FC57E7" w:rsidRPr="00E66841">
        <w:rPr>
          <w:rFonts w:cs="Arial"/>
          <w:sz w:val="22"/>
          <w:szCs w:val="22"/>
        </w:rPr>
        <w:t xml:space="preserve">have drafted </w:t>
      </w:r>
      <w:r w:rsidR="00535EDF" w:rsidRPr="00E66841">
        <w:rPr>
          <w:rFonts w:cs="Arial"/>
          <w:sz w:val="22"/>
          <w:szCs w:val="22"/>
        </w:rPr>
        <w:t xml:space="preserve">a </w:t>
      </w:r>
      <w:r w:rsidR="00FC57E7" w:rsidRPr="00E66841">
        <w:rPr>
          <w:rFonts w:cs="Arial"/>
          <w:sz w:val="22"/>
          <w:szCs w:val="22"/>
        </w:rPr>
        <w:t xml:space="preserve">buildings management offer.  </w:t>
      </w:r>
      <w:r w:rsidR="00BC1B31" w:rsidRPr="00E66841">
        <w:rPr>
          <w:rFonts w:cs="Arial"/>
          <w:sz w:val="22"/>
          <w:szCs w:val="22"/>
        </w:rPr>
        <w:t>No further progress.</w:t>
      </w:r>
    </w:p>
    <w:p w:rsidR="00E27A2C" w:rsidRDefault="00E27A2C" w:rsidP="00E27A2C">
      <w:pPr>
        <w:pStyle w:val="ListParagraph"/>
        <w:widowControl w:val="0"/>
        <w:tabs>
          <w:tab w:val="left" w:pos="220"/>
          <w:tab w:val="left" w:pos="720"/>
        </w:tabs>
        <w:autoSpaceDE w:val="0"/>
        <w:autoSpaceDN w:val="0"/>
        <w:adjustRightInd w:val="0"/>
        <w:ind w:left="360"/>
        <w:rPr>
          <w:rFonts w:cs="Arial"/>
          <w:sz w:val="22"/>
          <w:szCs w:val="22"/>
        </w:rPr>
      </w:pPr>
    </w:p>
    <w:p w:rsidR="004E6D5D" w:rsidRPr="000A427F" w:rsidRDefault="00B330BE" w:rsidP="00993498">
      <w:pPr>
        <w:pStyle w:val="ListParagraph"/>
        <w:widowControl w:val="0"/>
        <w:numPr>
          <w:ilvl w:val="0"/>
          <w:numId w:val="1"/>
        </w:numPr>
        <w:tabs>
          <w:tab w:val="left" w:pos="220"/>
          <w:tab w:val="left" w:pos="720"/>
        </w:tabs>
        <w:autoSpaceDE w:val="0"/>
        <w:autoSpaceDN w:val="0"/>
        <w:adjustRightInd w:val="0"/>
        <w:spacing w:before="240"/>
        <w:rPr>
          <w:rFonts w:cs="Arial"/>
          <w:b/>
          <w:sz w:val="22"/>
          <w:szCs w:val="22"/>
        </w:rPr>
      </w:pPr>
      <w:r w:rsidRPr="00B330BE">
        <w:rPr>
          <w:rFonts w:cs="Arial"/>
          <w:b/>
          <w:sz w:val="22"/>
          <w:szCs w:val="22"/>
        </w:rPr>
        <w:t xml:space="preserve">Primary Care Exchange </w:t>
      </w:r>
      <w:r w:rsidR="00692F65">
        <w:rPr>
          <w:rFonts w:cs="Arial"/>
          <w:b/>
          <w:sz w:val="22"/>
          <w:szCs w:val="22"/>
        </w:rPr>
        <w:t>–</w:t>
      </w:r>
      <w:r w:rsidRPr="00B330BE">
        <w:rPr>
          <w:rFonts w:cs="Arial"/>
          <w:b/>
          <w:sz w:val="22"/>
          <w:szCs w:val="22"/>
        </w:rPr>
        <w:t xml:space="preserve"> </w:t>
      </w:r>
      <w:r w:rsidR="00692F65">
        <w:rPr>
          <w:rFonts w:cs="Arial"/>
          <w:sz w:val="22"/>
          <w:szCs w:val="22"/>
        </w:rPr>
        <w:t>JW to follow up.</w:t>
      </w:r>
    </w:p>
    <w:p w:rsidR="000A427F" w:rsidRPr="000A427F" w:rsidRDefault="000A427F" w:rsidP="000A427F">
      <w:pPr>
        <w:pStyle w:val="ListParagraph"/>
        <w:rPr>
          <w:rFonts w:cs="Arial"/>
          <w:b/>
          <w:sz w:val="22"/>
          <w:szCs w:val="22"/>
        </w:rPr>
      </w:pPr>
    </w:p>
    <w:p w:rsidR="000A427F" w:rsidRPr="00B330BE" w:rsidRDefault="000A427F" w:rsidP="00993498">
      <w:pPr>
        <w:pStyle w:val="ListParagraph"/>
        <w:widowControl w:val="0"/>
        <w:numPr>
          <w:ilvl w:val="0"/>
          <w:numId w:val="1"/>
        </w:numPr>
        <w:tabs>
          <w:tab w:val="left" w:pos="220"/>
          <w:tab w:val="left" w:pos="720"/>
        </w:tabs>
        <w:autoSpaceDE w:val="0"/>
        <w:autoSpaceDN w:val="0"/>
        <w:adjustRightInd w:val="0"/>
        <w:spacing w:before="240"/>
        <w:rPr>
          <w:rFonts w:cs="Arial"/>
          <w:b/>
          <w:sz w:val="22"/>
          <w:szCs w:val="22"/>
        </w:rPr>
      </w:pPr>
      <w:r>
        <w:rPr>
          <w:rFonts w:cs="Arial"/>
          <w:b/>
          <w:sz w:val="22"/>
          <w:szCs w:val="22"/>
        </w:rPr>
        <w:t xml:space="preserve">Teaching academy – </w:t>
      </w:r>
      <w:r>
        <w:rPr>
          <w:rFonts w:cs="Arial"/>
          <w:sz w:val="22"/>
          <w:szCs w:val="22"/>
        </w:rPr>
        <w:t>we have been asked to consider re-submitting our Teaching academy application.  A number of practices have expressed an interest.  I have indicated to the university that we are interested.  Also, considering how we could collaborate with one of the other established academies.</w:t>
      </w:r>
    </w:p>
    <w:p w:rsidR="00B330BE" w:rsidRDefault="00B330BE" w:rsidP="00B330BE">
      <w:pPr>
        <w:pStyle w:val="ListParagraph"/>
        <w:widowControl w:val="0"/>
        <w:tabs>
          <w:tab w:val="left" w:pos="220"/>
          <w:tab w:val="left" w:pos="720"/>
        </w:tabs>
        <w:autoSpaceDE w:val="0"/>
        <w:autoSpaceDN w:val="0"/>
        <w:adjustRightInd w:val="0"/>
        <w:spacing w:before="240"/>
        <w:ind w:left="360"/>
        <w:rPr>
          <w:rFonts w:cs="Arial"/>
          <w:b/>
          <w:sz w:val="22"/>
          <w:szCs w:val="22"/>
        </w:rPr>
      </w:pPr>
    </w:p>
    <w:p w:rsidR="000A427F" w:rsidRDefault="000A427F" w:rsidP="00B330BE">
      <w:pPr>
        <w:pStyle w:val="ListParagraph"/>
        <w:widowControl w:val="0"/>
        <w:tabs>
          <w:tab w:val="left" w:pos="220"/>
          <w:tab w:val="left" w:pos="720"/>
        </w:tabs>
        <w:autoSpaceDE w:val="0"/>
        <w:autoSpaceDN w:val="0"/>
        <w:adjustRightInd w:val="0"/>
        <w:spacing w:before="240"/>
        <w:ind w:left="360"/>
        <w:rPr>
          <w:rFonts w:cs="Arial"/>
          <w:b/>
          <w:sz w:val="22"/>
          <w:szCs w:val="22"/>
        </w:rPr>
      </w:pPr>
    </w:p>
    <w:p w:rsidR="000A427F" w:rsidRDefault="000A427F" w:rsidP="00B330BE">
      <w:pPr>
        <w:pStyle w:val="ListParagraph"/>
        <w:widowControl w:val="0"/>
        <w:tabs>
          <w:tab w:val="left" w:pos="220"/>
          <w:tab w:val="left" w:pos="720"/>
        </w:tabs>
        <w:autoSpaceDE w:val="0"/>
        <w:autoSpaceDN w:val="0"/>
        <w:adjustRightInd w:val="0"/>
        <w:spacing w:before="240"/>
        <w:ind w:left="360"/>
        <w:rPr>
          <w:rFonts w:cs="Arial"/>
          <w:b/>
          <w:sz w:val="22"/>
          <w:szCs w:val="22"/>
        </w:rPr>
      </w:pPr>
    </w:p>
    <w:p w:rsidR="000A427F" w:rsidRDefault="000A427F" w:rsidP="00B330BE">
      <w:pPr>
        <w:pStyle w:val="ListParagraph"/>
        <w:widowControl w:val="0"/>
        <w:tabs>
          <w:tab w:val="left" w:pos="220"/>
          <w:tab w:val="left" w:pos="720"/>
        </w:tabs>
        <w:autoSpaceDE w:val="0"/>
        <w:autoSpaceDN w:val="0"/>
        <w:adjustRightInd w:val="0"/>
        <w:spacing w:before="240"/>
        <w:ind w:left="360"/>
        <w:rPr>
          <w:rFonts w:cs="Arial"/>
          <w:b/>
          <w:sz w:val="22"/>
          <w:szCs w:val="22"/>
        </w:rPr>
      </w:pPr>
    </w:p>
    <w:p w:rsidR="000A427F" w:rsidRDefault="000A427F" w:rsidP="00B330BE">
      <w:pPr>
        <w:pStyle w:val="ListParagraph"/>
        <w:widowControl w:val="0"/>
        <w:tabs>
          <w:tab w:val="left" w:pos="220"/>
          <w:tab w:val="left" w:pos="720"/>
        </w:tabs>
        <w:autoSpaceDE w:val="0"/>
        <w:autoSpaceDN w:val="0"/>
        <w:adjustRightInd w:val="0"/>
        <w:spacing w:before="240"/>
        <w:ind w:left="360"/>
        <w:rPr>
          <w:rFonts w:cs="Arial"/>
          <w:b/>
          <w:sz w:val="22"/>
          <w:szCs w:val="22"/>
        </w:rPr>
      </w:pPr>
    </w:p>
    <w:p w:rsidR="000A427F" w:rsidRDefault="000A427F" w:rsidP="00B330BE">
      <w:pPr>
        <w:pStyle w:val="ListParagraph"/>
        <w:widowControl w:val="0"/>
        <w:tabs>
          <w:tab w:val="left" w:pos="220"/>
          <w:tab w:val="left" w:pos="720"/>
        </w:tabs>
        <w:autoSpaceDE w:val="0"/>
        <w:autoSpaceDN w:val="0"/>
        <w:adjustRightInd w:val="0"/>
        <w:spacing w:before="240"/>
        <w:ind w:left="360"/>
        <w:rPr>
          <w:rFonts w:cs="Arial"/>
          <w:b/>
          <w:sz w:val="22"/>
          <w:szCs w:val="22"/>
        </w:rPr>
      </w:pPr>
    </w:p>
    <w:p w:rsidR="000A427F" w:rsidRDefault="000A427F" w:rsidP="00B330BE">
      <w:pPr>
        <w:pStyle w:val="ListParagraph"/>
        <w:widowControl w:val="0"/>
        <w:tabs>
          <w:tab w:val="left" w:pos="220"/>
          <w:tab w:val="left" w:pos="720"/>
        </w:tabs>
        <w:autoSpaceDE w:val="0"/>
        <w:autoSpaceDN w:val="0"/>
        <w:adjustRightInd w:val="0"/>
        <w:spacing w:before="240"/>
        <w:ind w:left="360"/>
        <w:rPr>
          <w:rFonts w:cs="Arial"/>
          <w:b/>
          <w:sz w:val="22"/>
          <w:szCs w:val="22"/>
        </w:rPr>
      </w:pPr>
    </w:p>
    <w:p w:rsidR="000A427F" w:rsidRDefault="000A427F" w:rsidP="00B330BE">
      <w:pPr>
        <w:pStyle w:val="ListParagraph"/>
        <w:widowControl w:val="0"/>
        <w:tabs>
          <w:tab w:val="left" w:pos="220"/>
          <w:tab w:val="left" w:pos="720"/>
        </w:tabs>
        <w:autoSpaceDE w:val="0"/>
        <w:autoSpaceDN w:val="0"/>
        <w:adjustRightInd w:val="0"/>
        <w:spacing w:before="240"/>
        <w:ind w:left="360"/>
        <w:rPr>
          <w:rFonts w:cs="Arial"/>
          <w:b/>
          <w:sz w:val="22"/>
          <w:szCs w:val="22"/>
        </w:rPr>
      </w:pPr>
    </w:p>
    <w:p w:rsidR="000A427F" w:rsidRDefault="000A427F" w:rsidP="00B330BE">
      <w:pPr>
        <w:pStyle w:val="ListParagraph"/>
        <w:widowControl w:val="0"/>
        <w:tabs>
          <w:tab w:val="left" w:pos="220"/>
          <w:tab w:val="left" w:pos="720"/>
        </w:tabs>
        <w:autoSpaceDE w:val="0"/>
        <w:autoSpaceDN w:val="0"/>
        <w:adjustRightInd w:val="0"/>
        <w:spacing w:before="240"/>
        <w:ind w:left="360"/>
        <w:rPr>
          <w:rFonts w:cs="Arial"/>
          <w:b/>
          <w:sz w:val="22"/>
          <w:szCs w:val="22"/>
        </w:rPr>
      </w:pPr>
    </w:p>
    <w:p w:rsidR="00E066EF" w:rsidRDefault="00E066EF" w:rsidP="00E066EF">
      <w:pPr>
        <w:pStyle w:val="ListParagraph"/>
        <w:rPr>
          <w:rFonts w:cs="Arial"/>
          <w:sz w:val="22"/>
          <w:szCs w:val="22"/>
        </w:rPr>
      </w:pPr>
    </w:p>
    <w:p w:rsidR="009613B0" w:rsidRDefault="009613B0" w:rsidP="001337F9">
      <w:pPr>
        <w:rPr>
          <w:rFonts w:cs="Arial"/>
          <w:sz w:val="22"/>
          <w:szCs w:val="22"/>
        </w:rPr>
        <w:sectPr w:rsidR="009613B0" w:rsidSect="00737BCA">
          <w:headerReference w:type="default" r:id="rId9"/>
          <w:footerReference w:type="even" r:id="rId10"/>
          <w:footerReference w:type="default" r:id="rId11"/>
          <w:pgSz w:w="11906" w:h="16838"/>
          <w:pgMar w:top="1440" w:right="1440" w:bottom="1276" w:left="1440" w:header="708" w:footer="708" w:gutter="0"/>
          <w:cols w:space="708"/>
          <w:docGrid w:linePitch="360"/>
        </w:sectPr>
      </w:pPr>
    </w:p>
    <w:p w:rsidR="006B7AAF" w:rsidRPr="009613B0" w:rsidRDefault="009613B0" w:rsidP="001337F9">
      <w:pPr>
        <w:rPr>
          <w:rFonts w:cs="Arial"/>
          <w:b/>
          <w:sz w:val="22"/>
          <w:szCs w:val="22"/>
          <w:u w:val="single"/>
        </w:rPr>
      </w:pPr>
      <w:r w:rsidRPr="009613B0">
        <w:rPr>
          <w:rFonts w:cs="Arial"/>
          <w:b/>
          <w:sz w:val="22"/>
          <w:szCs w:val="22"/>
          <w:u w:val="single"/>
        </w:rPr>
        <w:lastRenderedPageBreak/>
        <w:t xml:space="preserve">Additional Winter Capacity scheme – update @ </w:t>
      </w:r>
      <w:r w:rsidR="00446127">
        <w:rPr>
          <w:rFonts w:cs="Arial"/>
          <w:b/>
          <w:sz w:val="22"/>
          <w:szCs w:val="22"/>
          <w:u w:val="single"/>
        </w:rPr>
        <w:t>25</w:t>
      </w:r>
      <w:r w:rsidR="00446127" w:rsidRPr="00446127">
        <w:rPr>
          <w:rFonts w:cs="Arial"/>
          <w:b/>
          <w:sz w:val="22"/>
          <w:szCs w:val="22"/>
          <w:u w:val="single"/>
          <w:vertAlign w:val="superscript"/>
        </w:rPr>
        <w:t>th</w:t>
      </w:r>
      <w:r w:rsidR="00446127">
        <w:rPr>
          <w:rFonts w:cs="Arial"/>
          <w:b/>
          <w:sz w:val="22"/>
          <w:szCs w:val="22"/>
          <w:u w:val="single"/>
        </w:rPr>
        <w:t xml:space="preserve"> April </w:t>
      </w:r>
      <w:r w:rsidRPr="009613B0">
        <w:rPr>
          <w:rFonts w:cs="Arial"/>
          <w:b/>
          <w:sz w:val="22"/>
          <w:szCs w:val="22"/>
          <w:u w:val="single"/>
        </w:rPr>
        <w:t>2018</w:t>
      </w:r>
    </w:p>
    <w:p w:rsidR="00B71841" w:rsidRDefault="00446127" w:rsidP="001337F9">
      <w:pPr>
        <w:rPr>
          <w:rFonts w:cs="Arial"/>
          <w:sz w:val="22"/>
          <w:szCs w:val="22"/>
        </w:rPr>
        <w:sectPr w:rsidR="00B71841" w:rsidSect="009613B0">
          <w:pgSz w:w="16838" w:h="11906" w:orient="landscape"/>
          <w:pgMar w:top="1440" w:right="1440" w:bottom="1440" w:left="1276" w:header="708" w:footer="708" w:gutter="0"/>
          <w:cols w:space="708"/>
          <w:docGrid w:linePitch="360"/>
        </w:sectPr>
      </w:pPr>
      <w:r w:rsidRPr="00446127">
        <w:drawing>
          <wp:inline distT="0" distB="0" distL="0" distR="0" wp14:anchorId="6399B81E" wp14:editId="1B394E43">
            <wp:extent cx="8967470" cy="4613199"/>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67470" cy="4613199"/>
                    </a:xfrm>
                    <a:prstGeom prst="rect">
                      <a:avLst/>
                    </a:prstGeom>
                    <a:noFill/>
                    <a:ln>
                      <a:noFill/>
                    </a:ln>
                  </pic:spPr>
                </pic:pic>
              </a:graphicData>
            </a:graphic>
          </wp:inline>
        </w:drawing>
      </w:r>
    </w:p>
    <w:p w:rsidR="000E456D" w:rsidRPr="000E456D" w:rsidRDefault="000E456D" w:rsidP="000E456D">
      <w:pPr>
        <w:spacing w:after="200" w:line="276" w:lineRule="auto"/>
        <w:rPr>
          <w:rFonts w:eastAsiaTheme="minorHAnsi"/>
          <w:b/>
          <w:sz w:val="22"/>
          <w:szCs w:val="22"/>
          <w:u w:val="single"/>
          <w:lang w:val="en-GB"/>
        </w:rPr>
      </w:pPr>
      <w:r w:rsidRPr="000E456D">
        <w:rPr>
          <w:rFonts w:eastAsiaTheme="minorHAnsi"/>
          <w:b/>
          <w:sz w:val="22"/>
          <w:szCs w:val="22"/>
          <w:u w:val="single"/>
          <w:lang w:val="en-GB"/>
        </w:rPr>
        <w:lastRenderedPageBreak/>
        <w:t>ELR GP Federation – NHS England Clinical Pharmacists in General Practice Application Update</w:t>
      </w:r>
    </w:p>
    <w:p w:rsidR="000E456D" w:rsidRPr="000E456D" w:rsidRDefault="000E456D" w:rsidP="000E456D">
      <w:pPr>
        <w:numPr>
          <w:ilvl w:val="0"/>
          <w:numId w:val="23"/>
        </w:numPr>
        <w:spacing w:after="200" w:line="276" w:lineRule="auto"/>
        <w:contextualSpacing/>
        <w:rPr>
          <w:rFonts w:eastAsiaTheme="minorHAnsi"/>
          <w:b/>
          <w:sz w:val="22"/>
          <w:szCs w:val="22"/>
          <w:u w:val="single"/>
          <w:lang w:val="en-GB"/>
        </w:rPr>
      </w:pPr>
      <w:r w:rsidRPr="000E456D">
        <w:rPr>
          <w:rFonts w:eastAsiaTheme="minorHAnsi"/>
          <w:b/>
          <w:sz w:val="22"/>
          <w:szCs w:val="22"/>
          <w:u w:val="single"/>
          <w:lang w:val="en-GB"/>
        </w:rPr>
        <w:t>Introduction</w:t>
      </w:r>
    </w:p>
    <w:p w:rsidR="000E456D" w:rsidRPr="000E456D" w:rsidRDefault="000E456D" w:rsidP="000E456D">
      <w:pPr>
        <w:spacing w:line="276" w:lineRule="auto"/>
        <w:contextualSpacing/>
        <w:rPr>
          <w:rFonts w:eastAsiaTheme="minorHAnsi"/>
          <w:sz w:val="22"/>
          <w:szCs w:val="22"/>
          <w:lang w:val="en-GB"/>
        </w:rPr>
      </w:pPr>
      <w:r w:rsidRPr="000E456D">
        <w:rPr>
          <w:rFonts w:eastAsiaTheme="minorHAnsi"/>
          <w:sz w:val="22"/>
          <w:szCs w:val="22"/>
          <w:lang w:val="en-GB"/>
        </w:rPr>
        <w:t xml:space="preserve">This update paper outlines the next steps following our successful application to the NHS England Pharmacists in General Practice scheme.  </w:t>
      </w:r>
    </w:p>
    <w:p w:rsidR="000E456D" w:rsidRPr="000E456D" w:rsidRDefault="000E456D" w:rsidP="000E456D">
      <w:pPr>
        <w:spacing w:line="276" w:lineRule="auto"/>
        <w:contextualSpacing/>
        <w:rPr>
          <w:rFonts w:eastAsiaTheme="minorHAnsi"/>
          <w:sz w:val="22"/>
          <w:szCs w:val="22"/>
          <w:lang w:val="en-GB"/>
        </w:rPr>
      </w:pPr>
    </w:p>
    <w:p w:rsidR="000E456D" w:rsidRPr="000E456D" w:rsidRDefault="000E456D" w:rsidP="000E456D">
      <w:pPr>
        <w:numPr>
          <w:ilvl w:val="0"/>
          <w:numId w:val="23"/>
        </w:numPr>
        <w:spacing w:after="200" w:line="276" w:lineRule="auto"/>
        <w:contextualSpacing/>
        <w:rPr>
          <w:rFonts w:eastAsiaTheme="minorHAnsi"/>
          <w:b/>
          <w:sz w:val="22"/>
          <w:szCs w:val="22"/>
          <w:u w:val="single"/>
          <w:lang w:val="en-GB"/>
        </w:rPr>
      </w:pPr>
      <w:r w:rsidRPr="000E456D">
        <w:rPr>
          <w:rFonts w:eastAsiaTheme="minorHAnsi"/>
          <w:b/>
          <w:sz w:val="22"/>
          <w:szCs w:val="22"/>
          <w:u w:val="single"/>
          <w:lang w:val="en-GB"/>
        </w:rPr>
        <w:t>Update</w:t>
      </w:r>
    </w:p>
    <w:p w:rsidR="000E456D" w:rsidRPr="000E456D" w:rsidRDefault="000E456D" w:rsidP="000E456D">
      <w:pPr>
        <w:numPr>
          <w:ilvl w:val="0"/>
          <w:numId w:val="25"/>
        </w:numPr>
        <w:spacing w:after="200" w:line="276" w:lineRule="auto"/>
        <w:contextualSpacing/>
        <w:rPr>
          <w:rFonts w:eastAsiaTheme="minorHAnsi"/>
          <w:sz w:val="22"/>
          <w:szCs w:val="22"/>
          <w:lang w:val="en-GB"/>
        </w:rPr>
      </w:pPr>
      <w:r w:rsidRPr="000E456D">
        <w:rPr>
          <w:rFonts w:eastAsiaTheme="minorHAnsi"/>
          <w:sz w:val="22"/>
          <w:szCs w:val="22"/>
          <w:lang w:val="en-GB"/>
        </w:rPr>
        <w:t>The following 11 practices were included in the application;</w:t>
      </w:r>
    </w:p>
    <w:p w:rsidR="000E456D" w:rsidRPr="000E456D" w:rsidRDefault="000E456D" w:rsidP="000E456D">
      <w:pPr>
        <w:spacing w:after="200" w:line="276" w:lineRule="auto"/>
        <w:ind w:left="720"/>
        <w:rPr>
          <w:rFonts w:eastAsiaTheme="minorHAnsi"/>
          <w:sz w:val="22"/>
          <w:szCs w:val="22"/>
          <w:lang w:val="en-GB"/>
        </w:rPr>
      </w:pPr>
      <w:r w:rsidRPr="000E456D">
        <w:rPr>
          <w:rFonts w:eastAsiaTheme="minorHAnsi"/>
          <w:noProof/>
          <w:sz w:val="22"/>
          <w:szCs w:val="22"/>
          <w:lang w:val="en-GB" w:eastAsia="en-GB"/>
        </w:rPr>
        <w:drawing>
          <wp:inline distT="0" distB="0" distL="0" distR="0" wp14:anchorId="1789E059" wp14:editId="1F7072BA">
            <wp:extent cx="2551814" cy="350724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52724" cy="3508496"/>
                    </a:xfrm>
                    <a:prstGeom prst="rect">
                      <a:avLst/>
                    </a:prstGeom>
                    <a:noFill/>
                    <a:ln>
                      <a:noFill/>
                    </a:ln>
                  </pic:spPr>
                </pic:pic>
              </a:graphicData>
            </a:graphic>
          </wp:inline>
        </w:drawing>
      </w:r>
    </w:p>
    <w:p w:rsidR="000E456D" w:rsidRPr="000E456D" w:rsidRDefault="000E456D" w:rsidP="000E456D">
      <w:pPr>
        <w:numPr>
          <w:ilvl w:val="0"/>
          <w:numId w:val="25"/>
        </w:numPr>
        <w:spacing w:after="200" w:line="276" w:lineRule="auto"/>
        <w:contextualSpacing/>
        <w:rPr>
          <w:rFonts w:eastAsiaTheme="minorHAnsi"/>
          <w:sz w:val="22"/>
          <w:szCs w:val="22"/>
          <w:lang w:val="en-GB"/>
        </w:rPr>
      </w:pPr>
      <w:r w:rsidRPr="000E456D">
        <w:rPr>
          <w:rFonts w:eastAsiaTheme="minorHAnsi"/>
          <w:sz w:val="22"/>
          <w:szCs w:val="22"/>
          <w:lang w:val="en-GB"/>
        </w:rPr>
        <w:t xml:space="preserve">We were awarded </w:t>
      </w:r>
      <w:r w:rsidRPr="000E456D">
        <w:rPr>
          <w:rFonts w:eastAsiaTheme="minorHAnsi"/>
          <w:b/>
          <w:sz w:val="22"/>
          <w:szCs w:val="22"/>
          <w:u w:val="single"/>
          <w:lang w:val="en-GB"/>
        </w:rPr>
        <w:t>3 pharmacists</w:t>
      </w:r>
      <w:r w:rsidRPr="000E456D">
        <w:rPr>
          <w:rFonts w:eastAsiaTheme="minorHAnsi"/>
          <w:sz w:val="22"/>
          <w:szCs w:val="22"/>
          <w:lang w:val="en-GB"/>
        </w:rPr>
        <w:t xml:space="preserve"> (rather than the 1 senior pharmacist + 2 pharmacists applied for).</w:t>
      </w:r>
    </w:p>
    <w:p w:rsidR="000E456D" w:rsidRPr="000E456D" w:rsidRDefault="000E456D" w:rsidP="000E456D">
      <w:pPr>
        <w:spacing w:after="200" w:line="276" w:lineRule="auto"/>
        <w:ind w:left="360"/>
        <w:contextualSpacing/>
        <w:rPr>
          <w:rFonts w:eastAsiaTheme="minorHAnsi"/>
          <w:sz w:val="22"/>
          <w:szCs w:val="22"/>
          <w:lang w:val="en-GB"/>
        </w:rPr>
      </w:pPr>
    </w:p>
    <w:p w:rsidR="000E456D" w:rsidRPr="000E456D" w:rsidRDefault="000E456D" w:rsidP="000E456D">
      <w:pPr>
        <w:numPr>
          <w:ilvl w:val="0"/>
          <w:numId w:val="25"/>
        </w:numPr>
        <w:spacing w:after="200" w:line="276" w:lineRule="auto"/>
        <w:contextualSpacing/>
        <w:rPr>
          <w:rFonts w:eastAsiaTheme="minorHAnsi"/>
          <w:b/>
          <w:sz w:val="22"/>
          <w:szCs w:val="22"/>
          <w:u w:val="single"/>
          <w:lang w:val="en-GB"/>
        </w:rPr>
      </w:pPr>
      <w:r w:rsidRPr="000E456D">
        <w:rPr>
          <w:rFonts w:eastAsiaTheme="minorHAnsi"/>
          <w:sz w:val="22"/>
          <w:szCs w:val="22"/>
          <w:lang w:val="en-GB"/>
        </w:rPr>
        <w:t xml:space="preserve">The original specialist supplier was not included on the ELR CCG approved supplier list which would have made dovetailing the scheme with the existing ELR CCG scheme problematic.  Consequently, we have agreed to work with </w:t>
      </w:r>
      <w:r w:rsidRPr="000E456D">
        <w:rPr>
          <w:rFonts w:eastAsiaTheme="minorHAnsi"/>
          <w:b/>
          <w:sz w:val="22"/>
          <w:szCs w:val="22"/>
          <w:u w:val="single"/>
          <w:lang w:val="en-GB"/>
        </w:rPr>
        <w:t xml:space="preserve">Prescribing Support Services (PSS), </w:t>
      </w:r>
      <w:r w:rsidRPr="000E456D">
        <w:rPr>
          <w:rFonts w:eastAsiaTheme="minorHAnsi"/>
          <w:sz w:val="22"/>
          <w:szCs w:val="22"/>
          <w:lang w:val="en-GB"/>
        </w:rPr>
        <w:t>who are on the ELR CCG approved list, and advised NHS England accordingly.</w:t>
      </w:r>
    </w:p>
    <w:p w:rsidR="000E456D" w:rsidRPr="000E456D" w:rsidRDefault="000E456D" w:rsidP="000E456D">
      <w:pPr>
        <w:spacing w:after="200" w:line="276" w:lineRule="auto"/>
        <w:ind w:left="720"/>
        <w:contextualSpacing/>
        <w:rPr>
          <w:rFonts w:eastAsiaTheme="minorHAnsi"/>
          <w:b/>
          <w:sz w:val="22"/>
          <w:szCs w:val="22"/>
          <w:u w:val="single"/>
          <w:lang w:val="en-GB"/>
        </w:rPr>
      </w:pPr>
    </w:p>
    <w:p w:rsidR="000E456D" w:rsidRPr="000E456D" w:rsidRDefault="000E456D" w:rsidP="000E456D">
      <w:pPr>
        <w:numPr>
          <w:ilvl w:val="0"/>
          <w:numId w:val="25"/>
        </w:numPr>
        <w:spacing w:after="200" w:line="276" w:lineRule="auto"/>
        <w:contextualSpacing/>
        <w:rPr>
          <w:rFonts w:eastAsiaTheme="minorHAnsi"/>
          <w:b/>
          <w:sz w:val="22"/>
          <w:szCs w:val="22"/>
          <w:u w:val="single"/>
          <w:lang w:val="en-GB"/>
        </w:rPr>
      </w:pPr>
      <w:r w:rsidRPr="000E456D">
        <w:rPr>
          <w:rFonts w:eastAsiaTheme="minorHAnsi"/>
          <w:sz w:val="22"/>
          <w:szCs w:val="22"/>
          <w:lang w:val="en-GB"/>
        </w:rPr>
        <w:t>PSS have agreed to provide the Senior Pharmacist cover required by the scheme as part of their offer.</w:t>
      </w:r>
    </w:p>
    <w:p w:rsidR="000E456D" w:rsidRPr="000E456D" w:rsidRDefault="000E456D" w:rsidP="000E456D">
      <w:pPr>
        <w:spacing w:after="200" w:line="276" w:lineRule="auto"/>
        <w:ind w:left="720"/>
        <w:contextualSpacing/>
        <w:rPr>
          <w:rFonts w:eastAsiaTheme="minorHAnsi"/>
          <w:b/>
          <w:sz w:val="22"/>
          <w:szCs w:val="22"/>
          <w:u w:val="single"/>
          <w:lang w:val="en-GB"/>
        </w:rPr>
      </w:pPr>
    </w:p>
    <w:p w:rsidR="000E456D" w:rsidRPr="000E456D" w:rsidRDefault="000E456D" w:rsidP="000E456D">
      <w:pPr>
        <w:numPr>
          <w:ilvl w:val="0"/>
          <w:numId w:val="25"/>
        </w:numPr>
        <w:spacing w:after="200" w:line="276" w:lineRule="auto"/>
        <w:contextualSpacing/>
        <w:rPr>
          <w:rFonts w:eastAsiaTheme="minorHAnsi"/>
          <w:sz w:val="22"/>
          <w:szCs w:val="22"/>
          <w:lang w:val="en-GB"/>
        </w:rPr>
      </w:pPr>
      <w:r w:rsidRPr="000E456D">
        <w:rPr>
          <w:rFonts w:eastAsiaTheme="minorHAnsi"/>
          <w:sz w:val="22"/>
          <w:szCs w:val="22"/>
          <w:lang w:val="en-GB"/>
        </w:rPr>
        <w:t>PSS will provide an all-inclusive service in relation to the 3 Pharmacists, including;</w:t>
      </w:r>
    </w:p>
    <w:p w:rsidR="000E456D" w:rsidRPr="000E456D" w:rsidRDefault="000E456D" w:rsidP="000E456D">
      <w:pPr>
        <w:numPr>
          <w:ilvl w:val="0"/>
          <w:numId w:val="21"/>
        </w:numPr>
        <w:spacing w:after="200" w:line="276" w:lineRule="auto"/>
        <w:ind w:left="1434" w:hanging="357"/>
        <w:contextualSpacing/>
        <w:rPr>
          <w:rFonts w:eastAsia="Times New Roman" w:cs="Times New Roman"/>
          <w:sz w:val="22"/>
          <w:szCs w:val="22"/>
          <w:lang w:val="en-GB" w:eastAsia="en-GB"/>
        </w:rPr>
      </w:pPr>
      <w:r w:rsidRPr="000E456D">
        <w:rPr>
          <w:spacing w:val="-10"/>
          <w:kern w:val="24"/>
          <w:sz w:val="22"/>
          <w:szCs w:val="22"/>
          <w:lang w:val="en-GB" w:eastAsia="en-GB"/>
        </w:rPr>
        <w:t>Recruitment</w:t>
      </w:r>
    </w:p>
    <w:p w:rsidR="000E456D" w:rsidRPr="000E456D" w:rsidRDefault="000E456D" w:rsidP="000E456D">
      <w:pPr>
        <w:numPr>
          <w:ilvl w:val="0"/>
          <w:numId w:val="21"/>
        </w:numPr>
        <w:spacing w:after="200" w:line="276" w:lineRule="auto"/>
        <w:ind w:left="1434" w:hanging="357"/>
        <w:contextualSpacing/>
        <w:rPr>
          <w:rFonts w:eastAsia="Times New Roman" w:cs="Times New Roman"/>
          <w:sz w:val="22"/>
          <w:szCs w:val="22"/>
          <w:lang w:val="en-GB" w:eastAsia="en-GB"/>
        </w:rPr>
      </w:pPr>
      <w:r w:rsidRPr="000E456D">
        <w:rPr>
          <w:spacing w:val="-10"/>
          <w:kern w:val="24"/>
          <w:sz w:val="22"/>
          <w:szCs w:val="22"/>
          <w:lang w:val="en-GB" w:eastAsia="en-GB"/>
        </w:rPr>
        <w:t>Employment inc. all checks, HR</w:t>
      </w:r>
    </w:p>
    <w:p w:rsidR="000E456D" w:rsidRPr="000E456D" w:rsidRDefault="000E456D" w:rsidP="000E456D">
      <w:pPr>
        <w:numPr>
          <w:ilvl w:val="0"/>
          <w:numId w:val="21"/>
        </w:numPr>
        <w:spacing w:after="200" w:line="276" w:lineRule="auto"/>
        <w:ind w:left="1434" w:hanging="357"/>
        <w:contextualSpacing/>
        <w:rPr>
          <w:rFonts w:eastAsia="Times New Roman" w:cs="Times New Roman"/>
          <w:sz w:val="22"/>
          <w:szCs w:val="22"/>
          <w:lang w:val="en-GB" w:eastAsia="en-GB"/>
        </w:rPr>
      </w:pPr>
      <w:r w:rsidRPr="000E456D">
        <w:rPr>
          <w:spacing w:val="-10"/>
          <w:kern w:val="24"/>
          <w:sz w:val="22"/>
          <w:szCs w:val="22"/>
          <w:lang w:val="en-GB" w:eastAsia="en-GB"/>
        </w:rPr>
        <w:t xml:space="preserve">Pension </w:t>
      </w:r>
    </w:p>
    <w:p w:rsidR="000E456D" w:rsidRPr="000E456D" w:rsidRDefault="000E456D" w:rsidP="000E456D">
      <w:pPr>
        <w:numPr>
          <w:ilvl w:val="0"/>
          <w:numId w:val="21"/>
        </w:numPr>
        <w:spacing w:after="200" w:line="276" w:lineRule="auto"/>
        <w:ind w:left="1434" w:hanging="357"/>
        <w:contextualSpacing/>
        <w:rPr>
          <w:rFonts w:eastAsia="Times New Roman" w:cs="Times New Roman"/>
          <w:sz w:val="22"/>
          <w:szCs w:val="22"/>
          <w:lang w:val="en-GB" w:eastAsia="en-GB"/>
        </w:rPr>
      </w:pPr>
      <w:r w:rsidRPr="000E456D">
        <w:rPr>
          <w:spacing w:val="-10"/>
          <w:kern w:val="24"/>
          <w:sz w:val="22"/>
          <w:szCs w:val="22"/>
          <w:lang w:val="en-GB" w:eastAsia="en-GB"/>
        </w:rPr>
        <w:t>Indemnity</w:t>
      </w:r>
    </w:p>
    <w:p w:rsidR="000E456D" w:rsidRPr="000E456D" w:rsidRDefault="000E456D" w:rsidP="000E456D">
      <w:pPr>
        <w:numPr>
          <w:ilvl w:val="0"/>
          <w:numId w:val="21"/>
        </w:numPr>
        <w:spacing w:after="200" w:line="276" w:lineRule="auto"/>
        <w:ind w:left="1434" w:hanging="357"/>
        <w:contextualSpacing/>
        <w:rPr>
          <w:rFonts w:eastAsia="Times New Roman" w:cs="Times New Roman"/>
          <w:sz w:val="22"/>
          <w:szCs w:val="22"/>
          <w:lang w:val="en-GB" w:eastAsia="en-GB"/>
        </w:rPr>
      </w:pPr>
      <w:r w:rsidRPr="000E456D">
        <w:rPr>
          <w:spacing w:val="-10"/>
          <w:kern w:val="24"/>
          <w:sz w:val="22"/>
          <w:szCs w:val="22"/>
          <w:lang w:val="en-GB" w:eastAsia="en-GB"/>
        </w:rPr>
        <w:t>Parental leave, long-term sick</w:t>
      </w:r>
    </w:p>
    <w:p w:rsidR="000E456D" w:rsidRPr="000E456D" w:rsidRDefault="000E456D" w:rsidP="000E456D">
      <w:pPr>
        <w:numPr>
          <w:ilvl w:val="0"/>
          <w:numId w:val="21"/>
        </w:numPr>
        <w:spacing w:after="200" w:line="276" w:lineRule="auto"/>
        <w:ind w:left="1434" w:hanging="357"/>
        <w:contextualSpacing/>
        <w:rPr>
          <w:rFonts w:eastAsia="Times New Roman" w:cs="Times New Roman"/>
          <w:sz w:val="22"/>
          <w:szCs w:val="22"/>
          <w:lang w:val="en-GB" w:eastAsia="en-GB"/>
        </w:rPr>
      </w:pPr>
      <w:r w:rsidRPr="000E456D">
        <w:rPr>
          <w:spacing w:val="-10"/>
          <w:kern w:val="24"/>
          <w:sz w:val="22"/>
          <w:szCs w:val="22"/>
          <w:lang w:val="en-GB" w:eastAsia="en-GB"/>
        </w:rPr>
        <w:t>On-going professional development &amp; training</w:t>
      </w:r>
    </w:p>
    <w:p w:rsidR="000E456D" w:rsidRPr="000E456D" w:rsidRDefault="000E456D" w:rsidP="000E456D">
      <w:pPr>
        <w:numPr>
          <w:ilvl w:val="0"/>
          <w:numId w:val="21"/>
        </w:numPr>
        <w:spacing w:after="200" w:line="276" w:lineRule="auto"/>
        <w:ind w:left="1434" w:hanging="357"/>
        <w:contextualSpacing/>
        <w:rPr>
          <w:rFonts w:eastAsia="Times New Roman" w:cs="Times New Roman"/>
          <w:sz w:val="22"/>
          <w:szCs w:val="22"/>
          <w:lang w:val="en-GB" w:eastAsia="en-GB"/>
        </w:rPr>
      </w:pPr>
      <w:r w:rsidRPr="000E456D">
        <w:rPr>
          <w:spacing w:val="-10"/>
          <w:kern w:val="24"/>
          <w:sz w:val="22"/>
          <w:szCs w:val="22"/>
          <w:lang w:val="en-GB" w:eastAsia="en-GB"/>
        </w:rPr>
        <w:t>End of 4 years – retain the risk of the pharmacists</w:t>
      </w:r>
    </w:p>
    <w:p w:rsidR="000E456D" w:rsidRPr="000E456D" w:rsidRDefault="000E456D" w:rsidP="000E456D">
      <w:pPr>
        <w:contextualSpacing/>
        <w:rPr>
          <w:spacing w:val="-10"/>
          <w:kern w:val="24"/>
          <w:sz w:val="22"/>
          <w:szCs w:val="22"/>
          <w:lang w:val="en-GB" w:eastAsia="en-GB"/>
        </w:rPr>
      </w:pPr>
    </w:p>
    <w:p w:rsidR="000E456D" w:rsidRPr="000E456D" w:rsidRDefault="000E456D" w:rsidP="000E456D">
      <w:pPr>
        <w:ind w:left="360"/>
        <w:contextualSpacing/>
        <w:rPr>
          <w:spacing w:val="-10"/>
          <w:kern w:val="24"/>
          <w:sz w:val="22"/>
          <w:szCs w:val="22"/>
          <w:lang w:val="en-GB" w:eastAsia="en-GB"/>
        </w:rPr>
      </w:pPr>
      <w:r w:rsidRPr="000E456D">
        <w:rPr>
          <w:spacing w:val="-10"/>
          <w:kern w:val="24"/>
          <w:sz w:val="22"/>
          <w:szCs w:val="22"/>
          <w:lang w:val="en-GB" w:eastAsia="en-GB"/>
        </w:rPr>
        <w:t xml:space="preserve">Benefits for practices include; </w:t>
      </w:r>
    </w:p>
    <w:p w:rsidR="000E456D" w:rsidRPr="000E456D" w:rsidRDefault="000E456D" w:rsidP="000E456D">
      <w:pPr>
        <w:numPr>
          <w:ilvl w:val="0"/>
          <w:numId w:val="22"/>
        </w:numPr>
        <w:spacing w:after="200" w:line="276" w:lineRule="auto"/>
        <w:ind w:left="1080"/>
        <w:contextualSpacing/>
        <w:rPr>
          <w:rFonts w:eastAsiaTheme="minorHAnsi"/>
          <w:sz w:val="22"/>
          <w:szCs w:val="22"/>
          <w:lang w:val="en-GB"/>
        </w:rPr>
      </w:pPr>
      <w:r w:rsidRPr="000E456D">
        <w:rPr>
          <w:rFonts w:eastAsiaTheme="minorHAnsi"/>
          <w:sz w:val="22"/>
          <w:szCs w:val="22"/>
          <w:lang w:val="en-GB"/>
        </w:rPr>
        <w:t>Takes the recruitment and management burden</w:t>
      </w:r>
    </w:p>
    <w:p w:rsidR="000E456D" w:rsidRPr="000E456D" w:rsidRDefault="000E456D" w:rsidP="000E456D">
      <w:pPr>
        <w:numPr>
          <w:ilvl w:val="0"/>
          <w:numId w:val="22"/>
        </w:numPr>
        <w:spacing w:after="200" w:line="276" w:lineRule="auto"/>
        <w:ind w:left="1080"/>
        <w:contextualSpacing/>
        <w:rPr>
          <w:rFonts w:eastAsiaTheme="minorHAnsi"/>
          <w:sz w:val="22"/>
          <w:szCs w:val="22"/>
          <w:lang w:val="en-GB"/>
        </w:rPr>
      </w:pPr>
      <w:r w:rsidRPr="000E456D">
        <w:rPr>
          <w:rFonts w:eastAsiaTheme="minorHAnsi"/>
          <w:sz w:val="22"/>
          <w:szCs w:val="22"/>
          <w:lang w:val="en-GB"/>
        </w:rPr>
        <w:t>Removes the risk of employment</w:t>
      </w:r>
    </w:p>
    <w:p w:rsidR="000E456D" w:rsidRPr="000E456D" w:rsidRDefault="000E456D" w:rsidP="000E456D">
      <w:pPr>
        <w:numPr>
          <w:ilvl w:val="0"/>
          <w:numId w:val="22"/>
        </w:numPr>
        <w:spacing w:after="200" w:line="276" w:lineRule="auto"/>
        <w:ind w:left="1080"/>
        <w:contextualSpacing/>
        <w:rPr>
          <w:rFonts w:eastAsiaTheme="minorHAnsi"/>
          <w:sz w:val="22"/>
          <w:szCs w:val="22"/>
          <w:lang w:val="en-GB"/>
        </w:rPr>
      </w:pPr>
      <w:r w:rsidRPr="000E456D">
        <w:rPr>
          <w:rFonts w:eastAsiaTheme="minorHAnsi"/>
          <w:sz w:val="22"/>
          <w:szCs w:val="22"/>
          <w:lang w:val="en-GB"/>
        </w:rPr>
        <w:t>Practices will be involved in the recruitment of pharmacists in the localities</w:t>
      </w:r>
    </w:p>
    <w:p w:rsidR="000E456D" w:rsidRPr="000E456D" w:rsidRDefault="000E456D" w:rsidP="000E456D">
      <w:pPr>
        <w:numPr>
          <w:ilvl w:val="0"/>
          <w:numId w:val="22"/>
        </w:numPr>
        <w:spacing w:after="200" w:line="276" w:lineRule="auto"/>
        <w:ind w:left="1080"/>
        <w:contextualSpacing/>
        <w:rPr>
          <w:rFonts w:eastAsiaTheme="minorHAnsi"/>
          <w:sz w:val="22"/>
          <w:szCs w:val="22"/>
          <w:lang w:val="en-GB"/>
        </w:rPr>
      </w:pPr>
      <w:r w:rsidRPr="000E456D">
        <w:rPr>
          <w:rFonts w:eastAsiaTheme="minorHAnsi"/>
          <w:sz w:val="22"/>
          <w:szCs w:val="22"/>
          <w:lang w:val="en-GB"/>
        </w:rPr>
        <w:t>Provides effective cross cover, as necessary</w:t>
      </w:r>
    </w:p>
    <w:p w:rsidR="000E456D" w:rsidRPr="000E456D" w:rsidRDefault="000E456D" w:rsidP="000E456D">
      <w:pPr>
        <w:numPr>
          <w:ilvl w:val="0"/>
          <w:numId w:val="22"/>
        </w:numPr>
        <w:spacing w:after="200" w:line="276" w:lineRule="auto"/>
        <w:ind w:left="1080"/>
        <w:contextualSpacing/>
        <w:rPr>
          <w:rFonts w:eastAsiaTheme="minorHAnsi"/>
          <w:sz w:val="22"/>
          <w:szCs w:val="22"/>
          <w:lang w:val="en-GB"/>
        </w:rPr>
      </w:pPr>
      <w:r w:rsidRPr="000E456D">
        <w:rPr>
          <w:rFonts w:eastAsiaTheme="minorHAnsi"/>
          <w:sz w:val="22"/>
          <w:szCs w:val="22"/>
          <w:lang w:val="en-GB"/>
        </w:rPr>
        <w:t>Flexibility for moving pharmacists around, as necessary</w:t>
      </w:r>
    </w:p>
    <w:p w:rsidR="000E456D" w:rsidRPr="000E456D" w:rsidRDefault="000E456D" w:rsidP="000E456D">
      <w:pPr>
        <w:spacing w:after="200" w:line="276" w:lineRule="auto"/>
        <w:ind w:left="1080"/>
        <w:contextualSpacing/>
        <w:rPr>
          <w:rFonts w:eastAsiaTheme="minorHAnsi"/>
          <w:sz w:val="22"/>
          <w:szCs w:val="22"/>
          <w:lang w:val="en-GB"/>
        </w:rPr>
      </w:pPr>
    </w:p>
    <w:p w:rsidR="000E456D" w:rsidRPr="000E456D" w:rsidRDefault="000E456D" w:rsidP="000E456D">
      <w:pPr>
        <w:numPr>
          <w:ilvl w:val="0"/>
          <w:numId w:val="25"/>
        </w:numPr>
        <w:spacing w:after="200" w:line="276" w:lineRule="auto"/>
        <w:contextualSpacing/>
        <w:rPr>
          <w:rFonts w:eastAsiaTheme="minorHAnsi"/>
          <w:sz w:val="22"/>
          <w:szCs w:val="22"/>
          <w:lang w:val="en-GB"/>
        </w:rPr>
      </w:pPr>
      <w:r w:rsidRPr="000E456D">
        <w:rPr>
          <w:rFonts w:eastAsiaTheme="minorHAnsi"/>
          <w:sz w:val="22"/>
          <w:szCs w:val="22"/>
          <w:lang w:val="en-GB"/>
        </w:rPr>
        <w:t xml:space="preserve">The 3 pharmacists </w:t>
      </w:r>
      <w:r w:rsidRPr="000E456D">
        <w:rPr>
          <w:spacing w:val="-10"/>
          <w:kern w:val="24"/>
          <w:sz w:val="22"/>
          <w:szCs w:val="22"/>
          <w:lang w:val="is-IS" w:eastAsia="en-GB"/>
        </w:rPr>
        <w:t>will be augmented by the existing pharmacists employed by practices through the CCG £2/patient scheme.</w:t>
      </w:r>
      <w:r w:rsidRPr="000E456D">
        <w:rPr>
          <w:rFonts w:eastAsiaTheme="minorHAnsi"/>
          <w:sz w:val="22"/>
          <w:szCs w:val="22"/>
          <w:lang w:val="en-GB"/>
        </w:rPr>
        <w:t xml:space="preserve"> </w:t>
      </w:r>
    </w:p>
    <w:p w:rsidR="000E456D" w:rsidRPr="000E456D" w:rsidRDefault="000E456D" w:rsidP="000E456D">
      <w:pPr>
        <w:spacing w:after="200" w:line="276" w:lineRule="auto"/>
        <w:ind w:left="360"/>
        <w:contextualSpacing/>
        <w:rPr>
          <w:rFonts w:eastAsiaTheme="minorHAnsi"/>
          <w:sz w:val="22"/>
          <w:szCs w:val="22"/>
          <w:lang w:val="en-GB"/>
        </w:rPr>
      </w:pPr>
    </w:p>
    <w:p w:rsidR="000E456D" w:rsidRPr="000E456D" w:rsidRDefault="000E456D" w:rsidP="000E456D">
      <w:pPr>
        <w:numPr>
          <w:ilvl w:val="0"/>
          <w:numId w:val="25"/>
        </w:numPr>
        <w:spacing w:after="200" w:line="276" w:lineRule="auto"/>
        <w:contextualSpacing/>
        <w:rPr>
          <w:rFonts w:eastAsiaTheme="minorHAnsi"/>
          <w:sz w:val="22"/>
          <w:szCs w:val="22"/>
          <w:lang w:val="en-GB"/>
        </w:rPr>
      </w:pPr>
      <w:r w:rsidRPr="000E456D">
        <w:rPr>
          <w:rFonts w:eastAsiaTheme="minorHAnsi"/>
          <w:sz w:val="22"/>
          <w:szCs w:val="22"/>
          <w:lang w:val="en-GB"/>
        </w:rPr>
        <w:t>PSS have indicated that they could provide a hub and spoke service which we will consider in time after we have got the 3 pharmacists in place.</w:t>
      </w:r>
    </w:p>
    <w:p w:rsidR="000E456D" w:rsidRPr="000E456D" w:rsidRDefault="000E456D" w:rsidP="000E456D">
      <w:pPr>
        <w:spacing w:after="200" w:line="276" w:lineRule="auto"/>
        <w:ind w:left="360"/>
        <w:contextualSpacing/>
        <w:rPr>
          <w:rFonts w:eastAsiaTheme="minorHAnsi"/>
          <w:sz w:val="22"/>
          <w:szCs w:val="22"/>
          <w:lang w:val="en-GB"/>
        </w:rPr>
      </w:pPr>
    </w:p>
    <w:p w:rsidR="000E456D" w:rsidRPr="000E456D" w:rsidRDefault="000E456D" w:rsidP="000E456D">
      <w:pPr>
        <w:numPr>
          <w:ilvl w:val="0"/>
          <w:numId w:val="23"/>
        </w:numPr>
        <w:spacing w:after="200" w:line="276" w:lineRule="auto"/>
        <w:contextualSpacing/>
        <w:rPr>
          <w:rFonts w:eastAsiaTheme="minorHAnsi"/>
          <w:b/>
          <w:sz w:val="22"/>
          <w:szCs w:val="22"/>
          <w:u w:val="single"/>
          <w:lang w:val="en-GB"/>
        </w:rPr>
      </w:pPr>
      <w:r w:rsidRPr="000E456D">
        <w:rPr>
          <w:rFonts w:eastAsiaTheme="minorHAnsi"/>
          <w:b/>
          <w:sz w:val="22"/>
          <w:szCs w:val="22"/>
          <w:u w:val="single"/>
          <w:lang w:val="en-GB"/>
        </w:rPr>
        <w:t>Lead practices</w:t>
      </w:r>
    </w:p>
    <w:p w:rsidR="000E456D" w:rsidRPr="000E456D" w:rsidRDefault="000E456D" w:rsidP="000E456D">
      <w:pPr>
        <w:spacing w:line="276" w:lineRule="auto"/>
        <w:rPr>
          <w:rFonts w:eastAsiaTheme="minorHAnsi"/>
          <w:sz w:val="22"/>
          <w:szCs w:val="22"/>
          <w:lang w:val="en-GB"/>
        </w:rPr>
      </w:pPr>
      <w:r w:rsidRPr="000E456D">
        <w:rPr>
          <w:rFonts w:eastAsiaTheme="minorHAnsi"/>
          <w:sz w:val="22"/>
          <w:szCs w:val="22"/>
          <w:lang w:val="en-GB"/>
        </w:rPr>
        <w:t>Whilst the Federation is fully managing and supporting this process, the NHS England rules do not allow the Federation to hold this contract directly.  We have therefore identified three lead practices to hold the contract with NHS England and receive the funding for each of the pharmacists, namely;</w:t>
      </w:r>
    </w:p>
    <w:p w:rsidR="000E456D" w:rsidRPr="000E456D" w:rsidRDefault="000E456D" w:rsidP="000E456D">
      <w:pPr>
        <w:numPr>
          <w:ilvl w:val="0"/>
          <w:numId w:val="26"/>
        </w:numPr>
        <w:spacing w:after="200" w:line="276" w:lineRule="auto"/>
        <w:contextualSpacing/>
        <w:rPr>
          <w:rFonts w:eastAsiaTheme="minorHAnsi"/>
          <w:sz w:val="22"/>
          <w:szCs w:val="22"/>
          <w:lang w:val="en-GB"/>
        </w:rPr>
      </w:pPr>
      <w:r w:rsidRPr="000E456D">
        <w:rPr>
          <w:rFonts w:eastAsiaTheme="minorHAnsi"/>
          <w:sz w:val="22"/>
          <w:szCs w:val="22"/>
          <w:lang w:val="en-GB"/>
        </w:rPr>
        <w:t>Croft</w:t>
      </w:r>
    </w:p>
    <w:p w:rsidR="000E456D" w:rsidRPr="000E456D" w:rsidRDefault="000E456D" w:rsidP="000E456D">
      <w:pPr>
        <w:numPr>
          <w:ilvl w:val="0"/>
          <w:numId w:val="26"/>
        </w:numPr>
        <w:spacing w:after="200" w:line="276" w:lineRule="auto"/>
        <w:contextualSpacing/>
        <w:rPr>
          <w:rFonts w:eastAsiaTheme="minorHAnsi"/>
          <w:sz w:val="22"/>
          <w:szCs w:val="22"/>
          <w:lang w:val="en-GB"/>
        </w:rPr>
      </w:pPr>
      <w:r w:rsidRPr="000E456D">
        <w:rPr>
          <w:rFonts w:eastAsiaTheme="minorHAnsi"/>
          <w:sz w:val="22"/>
          <w:szCs w:val="22"/>
          <w:lang w:val="en-GB"/>
        </w:rPr>
        <w:t>County</w:t>
      </w:r>
    </w:p>
    <w:p w:rsidR="000E456D" w:rsidRPr="000E456D" w:rsidRDefault="000E456D" w:rsidP="000E456D">
      <w:pPr>
        <w:numPr>
          <w:ilvl w:val="0"/>
          <w:numId w:val="26"/>
        </w:numPr>
        <w:spacing w:after="200" w:line="276" w:lineRule="auto"/>
        <w:contextualSpacing/>
        <w:rPr>
          <w:rFonts w:eastAsiaTheme="minorHAnsi"/>
          <w:sz w:val="22"/>
          <w:szCs w:val="22"/>
          <w:lang w:val="en-GB"/>
        </w:rPr>
      </w:pPr>
      <w:r w:rsidRPr="000E456D">
        <w:rPr>
          <w:rFonts w:eastAsiaTheme="minorHAnsi"/>
          <w:sz w:val="22"/>
          <w:szCs w:val="22"/>
          <w:lang w:val="en-GB"/>
        </w:rPr>
        <w:t>Oakham</w:t>
      </w:r>
    </w:p>
    <w:p w:rsidR="000E456D" w:rsidRPr="000E456D" w:rsidRDefault="000E456D" w:rsidP="000E456D">
      <w:pPr>
        <w:spacing w:line="276" w:lineRule="auto"/>
        <w:rPr>
          <w:rFonts w:eastAsiaTheme="minorHAnsi"/>
          <w:sz w:val="22"/>
          <w:szCs w:val="22"/>
          <w:lang w:val="en-GB"/>
        </w:rPr>
      </w:pPr>
      <w:r w:rsidRPr="000E456D">
        <w:rPr>
          <w:rFonts w:eastAsiaTheme="minorHAnsi"/>
          <w:sz w:val="22"/>
          <w:szCs w:val="22"/>
          <w:lang w:val="en-GB"/>
        </w:rPr>
        <w:t>We will then put a contract in place between the lead practices and PSS for the management of the pharmacists and relevant indemnity arrangements with partner practices, as necessary.</w:t>
      </w:r>
    </w:p>
    <w:p w:rsidR="000E456D" w:rsidRPr="000E456D" w:rsidRDefault="000E456D" w:rsidP="000E456D">
      <w:pPr>
        <w:spacing w:line="276" w:lineRule="auto"/>
        <w:rPr>
          <w:rFonts w:eastAsiaTheme="minorHAnsi"/>
          <w:sz w:val="22"/>
          <w:szCs w:val="22"/>
          <w:lang w:val="en-GB"/>
        </w:rPr>
      </w:pPr>
    </w:p>
    <w:p w:rsidR="000E456D" w:rsidRPr="000E456D" w:rsidRDefault="000E456D" w:rsidP="000E456D">
      <w:pPr>
        <w:numPr>
          <w:ilvl w:val="0"/>
          <w:numId w:val="23"/>
        </w:numPr>
        <w:spacing w:after="200" w:line="276" w:lineRule="auto"/>
        <w:contextualSpacing/>
        <w:rPr>
          <w:rFonts w:eastAsiaTheme="minorHAnsi"/>
          <w:b/>
          <w:sz w:val="22"/>
          <w:szCs w:val="22"/>
          <w:u w:val="single"/>
          <w:lang w:val="en-GB"/>
        </w:rPr>
      </w:pPr>
      <w:r w:rsidRPr="000E456D">
        <w:rPr>
          <w:rFonts w:eastAsiaTheme="minorHAnsi"/>
          <w:b/>
          <w:sz w:val="22"/>
          <w:szCs w:val="22"/>
          <w:u w:val="single"/>
          <w:lang w:val="en-GB"/>
        </w:rPr>
        <w:t xml:space="preserve">Pharmacists allocation and costings </w:t>
      </w:r>
      <w:r w:rsidRPr="000E456D">
        <w:rPr>
          <w:rFonts w:eastAsiaTheme="minorHAnsi"/>
          <w:sz w:val="22"/>
          <w:szCs w:val="22"/>
          <w:lang w:val="en-GB"/>
        </w:rPr>
        <w:t xml:space="preserve">– </w:t>
      </w:r>
      <w:r w:rsidRPr="000E456D">
        <w:rPr>
          <w:rFonts w:eastAsiaTheme="minorHAnsi"/>
          <w:b/>
          <w:sz w:val="22"/>
          <w:szCs w:val="22"/>
          <w:lang w:val="en-GB"/>
        </w:rPr>
        <w:t>see Appendix 1</w:t>
      </w:r>
    </w:p>
    <w:p w:rsidR="000E456D" w:rsidRPr="000E456D" w:rsidRDefault="000E456D" w:rsidP="000E456D">
      <w:pPr>
        <w:numPr>
          <w:ilvl w:val="0"/>
          <w:numId w:val="24"/>
        </w:numPr>
        <w:spacing w:after="200" w:line="276" w:lineRule="auto"/>
        <w:contextualSpacing/>
        <w:rPr>
          <w:rFonts w:eastAsia="Times New Roman" w:cs="Times New Roman"/>
          <w:sz w:val="22"/>
          <w:szCs w:val="22"/>
          <w:lang w:val="en-GB" w:eastAsia="en-GB"/>
        </w:rPr>
      </w:pPr>
      <w:r w:rsidRPr="000E456D">
        <w:rPr>
          <w:rFonts w:eastAsia="Times New Roman" w:cs="Times New Roman"/>
          <w:sz w:val="22"/>
          <w:szCs w:val="22"/>
          <w:lang w:val="en-GB" w:eastAsia="en-GB"/>
        </w:rPr>
        <w:t>The indicative time allocation per practice for the pharmacists is shown in appendix 1.</w:t>
      </w:r>
    </w:p>
    <w:p w:rsidR="000E456D" w:rsidRPr="000E456D" w:rsidRDefault="000E456D" w:rsidP="000E456D">
      <w:pPr>
        <w:numPr>
          <w:ilvl w:val="0"/>
          <w:numId w:val="24"/>
        </w:numPr>
        <w:spacing w:after="200" w:line="276" w:lineRule="auto"/>
        <w:contextualSpacing/>
        <w:rPr>
          <w:rFonts w:eastAsia="Times New Roman" w:cs="Times New Roman"/>
          <w:sz w:val="22"/>
          <w:szCs w:val="22"/>
          <w:lang w:val="en-GB" w:eastAsia="en-GB"/>
        </w:rPr>
      </w:pPr>
      <w:r w:rsidRPr="000E456D">
        <w:rPr>
          <w:rFonts w:eastAsia="Times New Roman" w:cs="Times New Roman"/>
          <w:sz w:val="22"/>
          <w:szCs w:val="22"/>
          <w:lang w:val="en-GB" w:eastAsia="en-GB"/>
        </w:rPr>
        <w:t xml:space="preserve">Following the involvement of PSS, the costings have reduced to </w:t>
      </w:r>
      <w:r w:rsidRPr="000E456D">
        <w:rPr>
          <w:rFonts w:eastAsia="Times New Roman" w:cs="Times New Roman"/>
          <w:b/>
          <w:sz w:val="22"/>
          <w:szCs w:val="22"/>
          <w:u w:val="single"/>
          <w:lang w:val="en-GB" w:eastAsia="en-GB"/>
        </w:rPr>
        <w:t>£1.99</w:t>
      </w:r>
      <w:r w:rsidRPr="000E456D">
        <w:rPr>
          <w:rFonts w:eastAsia="Times New Roman" w:cs="Times New Roman"/>
          <w:b/>
          <w:sz w:val="22"/>
          <w:szCs w:val="22"/>
          <w:lang w:val="en-GB" w:eastAsia="en-GB"/>
        </w:rPr>
        <w:t xml:space="preserve"> per patient</w:t>
      </w:r>
      <w:r w:rsidRPr="000E456D">
        <w:rPr>
          <w:rFonts w:eastAsia="Times New Roman" w:cs="Times New Roman"/>
          <w:sz w:val="22"/>
          <w:szCs w:val="22"/>
          <w:lang w:val="en-GB" w:eastAsia="en-GB"/>
        </w:rPr>
        <w:t xml:space="preserve"> across the four years – a proportion of which will be funded by NHS England</w:t>
      </w:r>
      <w:r w:rsidRPr="000E456D">
        <w:rPr>
          <w:rFonts w:eastAsia="Times New Roman" w:cs="Times New Roman"/>
          <w:b/>
          <w:sz w:val="22"/>
          <w:szCs w:val="22"/>
          <w:lang w:val="en-GB" w:eastAsia="en-GB"/>
        </w:rPr>
        <w:t>.</w:t>
      </w:r>
    </w:p>
    <w:p w:rsidR="000E456D" w:rsidRPr="000E456D" w:rsidRDefault="000E456D" w:rsidP="000E456D">
      <w:pPr>
        <w:numPr>
          <w:ilvl w:val="0"/>
          <w:numId w:val="24"/>
        </w:numPr>
        <w:spacing w:after="200" w:line="276" w:lineRule="auto"/>
        <w:contextualSpacing/>
        <w:rPr>
          <w:rFonts w:eastAsia="Times New Roman" w:cs="Times New Roman"/>
          <w:sz w:val="22"/>
          <w:szCs w:val="22"/>
          <w:lang w:val="en-GB" w:eastAsia="en-GB"/>
        </w:rPr>
      </w:pPr>
      <w:r w:rsidRPr="000E456D">
        <w:rPr>
          <w:rFonts w:eastAsia="Times New Roman" w:cs="Times New Roman"/>
          <w:sz w:val="22"/>
          <w:szCs w:val="22"/>
          <w:lang w:val="en-GB" w:eastAsia="en-GB"/>
        </w:rPr>
        <w:t>It is likely that there will be an increase related to pay increases in years 2 -4.  An increase @2% per year has been assumed but this needs to be confirmed.</w:t>
      </w:r>
    </w:p>
    <w:p w:rsidR="000E456D" w:rsidRPr="000E456D" w:rsidRDefault="000E456D" w:rsidP="000E456D">
      <w:pPr>
        <w:spacing w:line="276" w:lineRule="auto"/>
        <w:contextualSpacing/>
        <w:rPr>
          <w:rFonts w:eastAsia="Times New Roman" w:cs="Times New Roman"/>
          <w:sz w:val="22"/>
          <w:szCs w:val="22"/>
          <w:lang w:val="en-GB" w:eastAsia="en-GB"/>
        </w:rPr>
      </w:pPr>
    </w:p>
    <w:p w:rsidR="000E456D" w:rsidRPr="000E456D" w:rsidRDefault="000E456D" w:rsidP="000E456D">
      <w:pPr>
        <w:numPr>
          <w:ilvl w:val="0"/>
          <w:numId w:val="23"/>
        </w:numPr>
        <w:spacing w:after="200" w:line="276" w:lineRule="auto"/>
        <w:contextualSpacing/>
        <w:rPr>
          <w:rFonts w:eastAsiaTheme="minorHAnsi"/>
          <w:b/>
          <w:sz w:val="22"/>
          <w:szCs w:val="22"/>
          <w:u w:val="single"/>
          <w:lang w:val="en-GB"/>
        </w:rPr>
      </w:pPr>
      <w:r w:rsidRPr="000E456D">
        <w:rPr>
          <w:rFonts w:eastAsiaTheme="minorHAnsi"/>
          <w:b/>
          <w:sz w:val="22"/>
          <w:szCs w:val="22"/>
          <w:u w:val="single"/>
          <w:lang w:val="en-GB"/>
        </w:rPr>
        <w:t>Next steps</w:t>
      </w:r>
    </w:p>
    <w:tbl>
      <w:tblPr>
        <w:tblStyle w:val="TableGrid"/>
        <w:tblW w:w="8214" w:type="dxa"/>
        <w:tblInd w:w="360" w:type="dxa"/>
        <w:tblLook w:val="04A0" w:firstRow="1" w:lastRow="0" w:firstColumn="1" w:lastColumn="0" w:noHBand="0" w:noVBand="1"/>
      </w:tblPr>
      <w:tblGrid>
        <w:gridCol w:w="457"/>
        <w:gridCol w:w="6804"/>
        <w:gridCol w:w="953"/>
      </w:tblGrid>
      <w:tr w:rsidR="000E456D" w:rsidRPr="000E456D" w:rsidTr="002B7046">
        <w:tc>
          <w:tcPr>
            <w:tcW w:w="457" w:type="dxa"/>
          </w:tcPr>
          <w:p w:rsidR="000E456D" w:rsidRPr="000E456D" w:rsidRDefault="000E456D" w:rsidP="000E456D">
            <w:pPr>
              <w:rPr>
                <w:rFonts w:eastAsia="HGSMinchoE"/>
                <w:b/>
                <w:sz w:val="22"/>
                <w:szCs w:val="22"/>
                <w:lang w:val="en-GB"/>
              </w:rPr>
            </w:pPr>
            <w:r w:rsidRPr="000E456D">
              <w:rPr>
                <w:rFonts w:eastAsia="HGSMinchoE"/>
                <w:b/>
                <w:sz w:val="22"/>
                <w:szCs w:val="22"/>
                <w:lang w:val="en-GB"/>
              </w:rPr>
              <w:t>Id</w:t>
            </w:r>
          </w:p>
        </w:tc>
        <w:tc>
          <w:tcPr>
            <w:tcW w:w="6804" w:type="dxa"/>
          </w:tcPr>
          <w:p w:rsidR="000E456D" w:rsidRPr="000E456D" w:rsidRDefault="000E456D" w:rsidP="000E456D">
            <w:pPr>
              <w:rPr>
                <w:rFonts w:eastAsia="HGSMinchoE"/>
                <w:b/>
                <w:sz w:val="22"/>
                <w:szCs w:val="22"/>
                <w:lang w:val="en-GB"/>
              </w:rPr>
            </w:pPr>
            <w:r w:rsidRPr="000E456D">
              <w:rPr>
                <w:rFonts w:eastAsia="HGSMinchoE"/>
                <w:b/>
                <w:sz w:val="22"/>
                <w:szCs w:val="22"/>
                <w:lang w:val="en-GB"/>
              </w:rPr>
              <w:t>Task</w:t>
            </w:r>
          </w:p>
        </w:tc>
        <w:tc>
          <w:tcPr>
            <w:tcW w:w="953" w:type="dxa"/>
          </w:tcPr>
          <w:p w:rsidR="000E456D" w:rsidRPr="000E456D" w:rsidRDefault="000E456D" w:rsidP="000E456D">
            <w:pPr>
              <w:rPr>
                <w:rFonts w:eastAsia="HGSMinchoE"/>
                <w:b/>
                <w:sz w:val="22"/>
                <w:szCs w:val="22"/>
                <w:lang w:val="en-GB"/>
              </w:rPr>
            </w:pPr>
            <w:r w:rsidRPr="000E456D">
              <w:rPr>
                <w:rFonts w:eastAsia="HGSMinchoE"/>
                <w:b/>
                <w:sz w:val="22"/>
                <w:szCs w:val="22"/>
                <w:lang w:val="en-GB"/>
              </w:rPr>
              <w:t>When</w:t>
            </w:r>
          </w:p>
        </w:tc>
      </w:tr>
      <w:tr w:rsidR="000E456D" w:rsidRPr="000E456D" w:rsidTr="002B7046">
        <w:tc>
          <w:tcPr>
            <w:tcW w:w="457" w:type="dxa"/>
          </w:tcPr>
          <w:p w:rsidR="000E456D" w:rsidRPr="000E456D" w:rsidRDefault="000E456D" w:rsidP="000E456D">
            <w:pPr>
              <w:rPr>
                <w:rFonts w:eastAsia="HGSMinchoE"/>
                <w:sz w:val="22"/>
                <w:szCs w:val="22"/>
                <w:lang w:val="en-GB"/>
              </w:rPr>
            </w:pPr>
            <w:r w:rsidRPr="000E456D">
              <w:rPr>
                <w:rFonts w:eastAsia="HGSMinchoE"/>
                <w:sz w:val="22"/>
                <w:szCs w:val="22"/>
                <w:lang w:val="en-GB"/>
              </w:rPr>
              <w:t>a.</w:t>
            </w:r>
          </w:p>
        </w:tc>
        <w:tc>
          <w:tcPr>
            <w:tcW w:w="6804" w:type="dxa"/>
          </w:tcPr>
          <w:p w:rsidR="000E456D" w:rsidRPr="000E456D" w:rsidRDefault="000E456D" w:rsidP="000E456D">
            <w:pPr>
              <w:rPr>
                <w:rFonts w:eastAsia="HGSMinchoE"/>
                <w:sz w:val="22"/>
                <w:szCs w:val="22"/>
                <w:lang w:val="en-GB"/>
              </w:rPr>
            </w:pPr>
            <w:r w:rsidRPr="000E456D">
              <w:rPr>
                <w:rFonts w:eastAsia="HGSMinchoE"/>
                <w:sz w:val="22"/>
                <w:szCs w:val="22"/>
                <w:lang w:val="en-GB"/>
              </w:rPr>
              <w:t>Confirmation from practices that they will take part in the scheme.</w:t>
            </w:r>
          </w:p>
        </w:tc>
        <w:tc>
          <w:tcPr>
            <w:tcW w:w="953" w:type="dxa"/>
          </w:tcPr>
          <w:p w:rsidR="000E456D" w:rsidRPr="000E456D" w:rsidRDefault="000E456D" w:rsidP="000E456D">
            <w:pPr>
              <w:rPr>
                <w:rFonts w:eastAsia="HGSMinchoE"/>
                <w:sz w:val="22"/>
                <w:szCs w:val="22"/>
                <w:lang w:val="en-GB"/>
              </w:rPr>
            </w:pPr>
            <w:r w:rsidRPr="000E456D">
              <w:rPr>
                <w:rFonts w:eastAsia="HGSMinchoE"/>
                <w:sz w:val="22"/>
                <w:szCs w:val="22"/>
                <w:lang w:val="en-GB"/>
              </w:rPr>
              <w:t>27/04</w:t>
            </w:r>
          </w:p>
        </w:tc>
      </w:tr>
      <w:tr w:rsidR="000E456D" w:rsidRPr="000E456D" w:rsidTr="002B7046">
        <w:tc>
          <w:tcPr>
            <w:tcW w:w="457" w:type="dxa"/>
          </w:tcPr>
          <w:p w:rsidR="000E456D" w:rsidRPr="000E456D" w:rsidRDefault="000E456D" w:rsidP="000E456D">
            <w:pPr>
              <w:rPr>
                <w:rFonts w:eastAsia="HGSMinchoE"/>
                <w:sz w:val="22"/>
                <w:szCs w:val="22"/>
                <w:lang w:val="en-GB"/>
              </w:rPr>
            </w:pPr>
            <w:r w:rsidRPr="000E456D">
              <w:rPr>
                <w:rFonts w:eastAsia="HGSMinchoE"/>
                <w:sz w:val="22"/>
                <w:szCs w:val="22"/>
                <w:lang w:val="en-GB"/>
              </w:rPr>
              <w:t>b.</w:t>
            </w:r>
          </w:p>
        </w:tc>
        <w:tc>
          <w:tcPr>
            <w:tcW w:w="6804" w:type="dxa"/>
          </w:tcPr>
          <w:p w:rsidR="000E456D" w:rsidRPr="000E456D" w:rsidRDefault="000E456D" w:rsidP="000E456D">
            <w:pPr>
              <w:rPr>
                <w:rFonts w:eastAsia="HGSMinchoE"/>
                <w:sz w:val="22"/>
                <w:szCs w:val="22"/>
                <w:lang w:val="en-GB"/>
              </w:rPr>
            </w:pPr>
            <w:r w:rsidRPr="000E456D">
              <w:rPr>
                <w:rFonts w:eastAsia="HGSMinchoE"/>
                <w:sz w:val="22"/>
                <w:szCs w:val="22"/>
                <w:lang w:val="en-GB"/>
              </w:rPr>
              <w:t>Finalise contracts between;</w:t>
            </w:r>
          </w:p>
          <w:p w:rsidR="000E456D" w:rsidRPr="000E456D" w:rsidRDefault="000E456D" w:rsidP="000E456D">
            <w:pPr>
              <w:numPr>
                <w:ilvl w:val="0"/>
                <w:numId w:val="27"/>
              </w:numPr>
              <w:contextualSpacing/>
              <w:rPr>
                <w:rFonts w:eastAsia="HGSMinchoE"/>
                <w:sz w:val="22"/>
                <w:szCs w:val="22"/>
                <w:lang w:val="en-GB"/>
              </w:rPr>
            </w:pPr>
            <w:r w:rsidRPr="000E456D">
              <w:rPr>
                <w:rFonts w:eastAsia="HGSMinchoE"/>
                <w:sz w:val="22"/>
                <w:szCs w:val="22"/>
                <w:lang w:val="en-GB"/>
              </w:rPr>
              <w:t>Lead practices and NHS E</w:t>
            </w:r>
          </w:p>
          <w:p w:rsidR="000E456D" w:rsidRPr="000E456D" w:rsidRDefault="000E456D" w:rsidP="000E456D">
            <w:pPr>
              <w:numPr>
                <w:ilvl w:val="0"/>
                <w:numId w:val="27"/>
              </w:numPr>
              <w:contextualSpacing/>
              <w:rPr>
                <w:rFonts w:eastAsia="HGSMinchoE"/>
                <w:sz w:val="22"/>
                <w:szCs w:val="22"/>
                <w:lang w:val="en-GB"/>
              </w:rPr>
            </w:pPr>
            <w:r w:rsidRPr="000E456D">
              <w:rPr>
                <w:rFonts w:eastAsia="HGSMinchoE"/>
                <w:sz w:val="22"/>
                <w:szCs w:val="22"/>
                <w:lang w:val="en-GB"/>
              </w:rPr>
              <w:t>Lead practices and PSS</w:t>
            </w:r>
          </w:p>
          <w:p w:rsidR="000E456D" w:rsidRPr="000E456D" w:rsidRDefault="000E456D" w:rsidP="000E456D">
            <w:pPr>
              <w:numPr>
                <w:ilvl w:val="0"/>
                <w:numId w:val="27"/>
              </w:numPr>
              <w:contextualSpacing/>
              <w:rPr>
                <w:rFonts w:eastAsia="HGSMinchoE"/>
                <w:lang w:val="en-GB"/>
              </w:rPr>
            </w:pPr>
            <w:r w:rsidRPr="000E456D">
              <w:rPr>
                <w:rFonts w:eastAsia="HGSMinchoE"/>
                <w:sz w:val="22"/>
                <w:szCs w:val="22"/>
                <w:lang w:val="en-GB"/>
              </w:rPr>
              <w:t>Lead practices and cluster practices</w:t>
            </w:r>
          </w:p>
        </w:tc>
        <w:tc>
          <w:tcPr>
            <w:tcW w:w="953" w:type="dxa"/>
          </w:tcPr>
          <w:p w:rsidR="000E456D" w:rsidRPr="000E456D" w:rsidRDefault="000E456D" w:rsidP="000E456D">
            <w:pPr>
              <w:rPr>
                <w:rFonts w:eastAsia="HGSMinchoE"/>
                <w:sz w:val="22"/>
                <w:szCs w:val="22"/>
                <w:lang w:val="en-GB"/>
              </w:rPr>
            </w:pPr>
            <w:r w:rsidRPr="000E456D">
              <w:rPr>
                <w:rFonts w:eastAsia="HGSMinchoE"/>
                <w:sz w:val="22"/>
                <w:szCs w:val="22"/>
                <w:lang w:val="en-GB"/>
              </w:rPr>
              <w:t>04/05</w:t>
            </w:r>
          </w:p>
        </w:tc>
      </w:tr>
      <w:tr w:rsidR="000E456D" w:rsidRPr="000E456D" w:rsidTr="002B7046">
        <w:tc>
          <w:tcPr>
            <w:tcW w:w="457" w:type="dxa"/>
          </w:tcPr>
          <w:p w:rsidR="000E456D" w:rsidRPr="000E456D" w:rsidRDefault="000E456D" w:rsidP="000E456D">
            <w:pPr>
              <w:rPr>
                <w:rFonts w:eastAsia="HGSMinchoE"/>
                <w:sz w:val="22"/>
                <w:szCs w:val="22"/>
                <w:lang w:val="en-GB"/>
              </w:rPr>
            </w:pPr>
            <w:r w:rsidRPr="000E456D">
              <w:rPr>
                <w:rFonts w:eastAsia="HGSMinchoE"/>
                <w:sz w:val="22"/>
                <w:szCs w:val="22"/>
                <w:lang w:val="en-GB"/>
              </w:rPr>
              <w:t>c.</w:t>
            </w:r>
          </w:p>
        </w:tc>
        <w:tc>
          <w:tcPr>
            <w:tcW w:w="6804" w:type="dxa"/>
          </w:tcPr>
          <w:p w:rsidR="000E456D" w:rsidRPr="000E456D" w:rsidRDefault="000E456D" w:rsidP="000E456D">
            <w:pPr>
              <w:rPr>
                <w:rFonts w:eastAsia="HGSMinchoE"/>
                <w:sz w:val="22"/>
                <w:szCs w:val="22"/>
                <w:lang w:val="en-GB"/>
              </w:rPr>
            </w:pPr>
            <w:r w:rsidRPr="000E456D">
              <w:rPr>
                <w:rFonts w:eastAsia="HGSMinchoE"/>
                <w:sz w:val="22"/>
                <w:szCs w:val="22"/>
                <w:lang w:val="en-GB"/>
              </w:rPr>
              <w:t>PSS recruit / allocate the pharmacists</w:t>
            </w:r>
          </w:p>
        </w:tc>
        <w:tc>
          <w:tcPr>
            <w:tcW w:w="953" w:type="dxa"/>
          </w:tcPr>
          <w:p w:rsidR="000E456D" w:rsidRPr="000E456D" w:rsidRDefault="000E456D" w:rsidP="000E456D">
            <w:pPr>
              <w:rPr>
                <w:rFonts w:eastAsia="HGSMinchoE"/>
                <w:sz w:val="22"/>
                <w:szCs w:val="22"/>
                <w:lang w:val="en-GB"/>
              </w:rPr>
            </w:pPr>
            <w:r w:rsidRPr="000E456D">
              <w:rPr>
                <w:rFonts w:eastAsia="HGSMinchoE"/>
                <w:sz w:val="22"/>
                <w:szCs w:val="22"/>
                <w:lang w:val="en-GB"/>
              </w:rPr>
              <w:t>18/05</w:t>
            </w:r>
          </w:p>
        </w:tc>
      </w:tr>
      <w:tr w:rsidR="000E456D" w:rsidRPr="000E456D" w:rsidTr="002B7046">
        <w:tc>
          <w:tcPr>
            <w:tcW w:w="457" w:type="dxa"/>
          </w:tcPr>
          <w:p w:rsidR="000E456D" w:rsidRPr="000E456D" w:rsidRDefault="000E456D" w:rsidP="000E456D">
            <w:pPr>
              <w:rPr>
                <w:rFonts w:eastAsia="HGSMinchoE"/>
                <w:sz w:val="22"/>
                <w:szCs w:val="22"/>
                <w:lang w:val="en-GB"/>
              </w:rPr>
            </w:pPr>
            <w:r w:rsidRPr="000E456D">
              <w:rPr>
                <w:rFonts w:eastAsia="HGSMinchoE"/>
                <w:sz w:val="22"/>
                <w:szCs w:val="22"/>
                <w:lang w:val="en-GB"/>
              </w:rPr>
              <w:t>d.</w:t>
            </w:r>
          </w:p>
        </w:tc>
        <w:tc>
          <w:tcPr>
            <w:tcW w:w="6804" w:type="dxa"/>
          </w:tcPr>
          <w:p w:rsidR="000E456D" w:rsidRPr="000E456D" w:rsidRDefault="000E456D" w:rsidP="000E456D">
            <w:pPr>
              <w:rPr>
                <w:rFonts w:eastAsia="HGSMinchoE"/>
                <w:sz w:val="22"/>
                <w:szCs w:val="22"/>
                <w:lang w:val="en-GB"/>
              </w:rPr>
            </w:pPr>
            <w:r w:rsidRPr="000E456D">
              <w:rPr>
                <w:rFonts w:eastAsia="HGSMinchoE"/>
                <w:sz w:val="22"/>
                <w:szCs w:val="22"/>
                <w:lang w:val="en-GB"/>
              </w:rPr>
              <w:t>Start the scheme</w:t>
            </w:r>
          </w:p>
        </w:tc>
        <w:tc>
          <w:tcPr>
            <w:tcW w:w="953" w:type="dxa"/>
          </w:tcPr>
          <w:p w:rsidR="000E456D" w:rsidRPr="000E456D" w:rsidRDefault="000E456D" w:rsidP="000E456D">
            <w:pPr>
              <w:rPr>
                <w:rFonts w:eastAsia="HGSMinchoE"/>
                <w:sz w:val="22"/>
                <w:szCs w:val="22"/>
                <w:lang w:val="en-GB"/>
              </w:rPr>
            </w:pPr>
            <w:r w:rsidRPr="000E456D">
              <w:rPr>
                <w:rFonts w:eastAsia="HGSMinchoE"/>
                <w:sz w:val="22"/>
                <w:szCs w:val="22"/>
                <w:lang w:val="en-GB"/>
              </w:rPr>
              <w:t>04/06</w:t>
            </w:r>
          </w:p>
        </w:tc>
      </w:tr>
      <w:tr w:rsidR="000E456D" w:rsidRPr="000E456D" w:rsidTr="002B7046">
        <w:tc>
          <w:tcPr>
            <w:tcW w:w="457" w:type="dxa"/>
          </w:tcPr>
          <w:p w:rsidR="000E456D" w:rsidRPr="000E456D" w:rsidRDefault="000E456D" w:rsidP="000E456D">
            <w:pPr>
              <w:rPr>
                <w:rFonts w:eastAsia="HGSMinchoE"/>
                <w:sz w:val="22"/>
                <w:szCs w:val="22"/>
                <w:lang w:val="en-GB"/>
              </w:rPr>
            </w:pPr>
            <w:r w:rsidRPr="000E456D">
              <w:rPr>
                <w:rFonts w:eastAsia="HGSMinchoE"/>
                <w:sz w:val="22"/>
                <w:szCs w:val="22"/>
                <w:lang w:val="en-GB"/>
              </w:rPr>
              <w:t>e.</w:t>
            </w:r>
          </w:p>
        </w:tc>
        <w:tc>
          <w:tcPr>
            <w:tcW w:w="6804" w:type="dxa"/>
          </w:tcPr>
          <w:p w:rsidR="000E456D" w:rsidRPr="000E456D" w:rsidRDefault="000E456D" w:rsidP="000E456D">
            <w:pPr>
              <w:rPr>
                <w:rFonts w:eastAsia="HGSMinchoE"/>
                <w:sz w:val="22"/>
                <w:szCs w:val="22"/>
                <w:lang w:val="en-GB"/>
              </w:rPr>
            </w:pPr>
            <w:r w:rsidRPr="000E456D">
              <w:rPr>
                <w:rFonts w:eastAsia="HGSMinchoE"/>
                <w:sz w:val="22"/>
                <w:szCs w:val="22"/>
                <w:lang w:val="en-GB"/>
              </w:rPr>
              <w:t>Plan and implement hub and spoke system, subject to costings</w:t>
            </w:r>
          </w:p>
        </w:tc>
        <w:tc>
          <w:tcPr>
            <w:tcW w:w="953" w:type="dxa"/>
          </w:tcPr>
          <w:p w:rsidR="000E456D" w:rsidRPr="000E456D" w:rsidRDefault="000E456D" w:rsidP="000E456D">
            <w:pPr>
              <w:rPr>
                <w:rFonts w:eastAsia="HGSMinchoE"/>
                <w:sz w:val="22"/>
                <w:szCs w:val="22"/>
                <w:lang w:val="en-GB"/>
              </w:rPr>
            </w:pPr>
            <w:r w:rsidRPr="000E456D">
              <w:rPr>
                <w:rFonts w:eastAsia="HGSMinchoE"/>
                <w:sz w:val="22"/>
                <w:szCs w:val="22"/>
                <w:lang w:val="en-GB"/>
              </w:rPr>
              <w:t>03/09</w:t>
            </w:r>
          </w:p>
        </w:tc>
      </w:tr>
    </w:tbl>
    <w:p w:rsidR="000E456D" w:rsidRDefault="000E456D" w:rsidP="001337F9">
      <w:pPr>
        <w:rPr>
          <w:rFonts w:cs="Arial"/>
          <w:b/>
          <w:sz w:val="22"/>
          <w:szCs w:val="22"/>
          <w:u w:val="single"/>
        </w:rPr>
        <w:sectPr w:rsidR="000E456D" w:rsidSect="00B71841">
          <w:pgSz w:w="11906" w:h="16838"/>
          <w:pgMar w:top="1440" w:right="1440" w:bottom="1276" w:left="1440" w:header="708" w:footer="708" w:gutter="0"/>
          <w:cols w:space="708"/>
          <w:docGrid w:linePitch="360"/>
        </w:sectPr>
      </w:pPr>
    </w:p>
    <w:p w:rsidR="000E456D" w:rsidRDefault="000E456D" w:rsidP="001337F9">
      <w:pPr>
        <w:rPr>
          <w:rFonts w:cs="Arial"/>
          <w:b/>
          <w:sz w:val="22"/>
          <w:szCs w:val="22"/>
          <w:u w:val="single"/>
        </w:rPr>
      </w:pPr>
    </w:p>
    <w:p w:rsidR="000E456D" w:rsidRDefault="000E456D" w:rsidP="001337F9">
      <w:pPr>
        <w:rPr>
          <w:rFonts w:cs="Arial"/>
          <w:b/>
          <w:sz w:val="22"/>
          <w:szCs w:val="22"/>
          <w:u w:val="single"/>
        </w:rPr>
      </w:pPr>
      <w:r w:rsidRPr="008A1473">
        <w:rPr>
          <w:noProof/>
          <w:lang w:eastAsia="en-GB"/>
        </w:rPr>
        <w:drawing>
          <wp:inline distT="0" distB="0" distL="0" distR="0" wp14:anchorId="1C6D64F9" wp14:editId="2BC772C2">
            <wp:extent cx="8863330" cy="52408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63330" cy="5240879"/>
                    </a:xfrm>
                    <a:prstGeom prst="rect">
                      <a:avLst/>
                    </a:prstGeom>
                    <a:noFill/>
                    <a:ln>
                      <a:noFill/>
                    </a:ln>
                  </pic:spPr>
                </pic:pic>
              </a:graphicData>
            </a:graphic>
          </wp:inline>
        </w:drawing>
      </w:r>
    </w:p>
    <w:p w:rsidR="000E456D" w:rsidRDefault="000E456D">
      <w:pPr>
        <w:spacing w:after="200" w:line="276" w:lineRule="auto"/>
        <w:rPr>
          <w:rFonts w:cs="Arial"/>
          <w:b/>
          <w:sz w:val="22"/>
          <w:szCs w:val="22"/>
          <w:u w:val="single"/>
        </w:rPr>
      </w:pPr>
    </w:p>
    <w:sectPr w:rsidR="000E456D" w:rsidSect="000E456D">
      <w:pgSz w:w="16838" w:h="11906" w:orient="landscape"/>
      <w:pgMar w:top="1440" w:right="1440"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E2B" w:rsidRDefault="002E0E2B">
      <w:r>
        <w:separator/>
      </w:r>
    </w:p>
  </w:endnote>
  <w:endnote w:type="continuationSeparator" w:id="0">
    <w:p w:rsidR="002E0E2B" w:rsidRDefault="002E0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HGSMinchoE">
    <w:charset w:val="80"/>
    <w:family w:val="auto"/>
    <w:pitch w:val="variable"/>
    <w:sig w:usb0="E00002FF" w:usb1="6AC7FDFB" w:usb2="00000012" w:usb3="00000000" w:csb0="0002009F" w:csb1="00000000"/>
  </w:font>
  <w:font w:name="Helvetica">
    <w:panose1 w:val="020B0504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E2B" w:rsidRDefault="002E0E2B" w:rsidP="002E0E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E0E2B" w:rsidRDefault="002E0E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E2B" w:rsidRPr="005A75C0" w:rsidRDefault="002E0E2B" w:rsidP="002E0E2B">
    <w:pPr>
      <w:pStyle w:val="Footer"/>
      <w:framePr w:wrap="around" w:vAnchor="text" w:hAnchor="margin" w:xAlign="center" w:y="1"/>
      <w:rPr>
        <w:rStyle w:val="PageNumber"/>
        <w:sz w:val="20"/>
        <w:szCs w:val="20"/>
      </w:rPr>
    </w:pPr>
    <w:r w:rsidRPr="005A75C0">
      <w:rPr>
        <w:rStyle w:val="PageNumber"/>
        <w:sz w:val="20"/>
        <w:szCs w:val="20"/>
      </w:rPr>
      <w:fldChar w:fldCharType="begin"/>
    </w:r>
    <w:r w:rsidRPr="005A75C0">
      <w:rPr>
        <w:rStyle w:val="PageNumber"/>
        <w:sz w:val="20"/>
        <w:szCs w:val="20"/>
      </w:rPr>
      <w:instrText xml:space="preserve">PAGE  </w:instrText>
    </w:r>
    <w:r w:rsidRPr="005A75C0">
      <w:rPr>
        <w:rStyle w:val="PageNumber"/>
        <w:sz w:val="20"/>
        <w:szCs w:val="20"/>
      </w:rPr>
      <w:fldChar w:fldCharType="separate"/>
    </w:r>
    <w:r w:rsidR="008272FB">
      <w:rPr>
        <w:rStyle w:val="PageNumber"/>
        <w:noProof/>
        <w:sz w:val="20"/>
        <w:szCs w:val="20"/>
      </w:rPr>
      <w:t>5</w:t>
    </w:r>
    <w:r w:rsidRPr="005A75C0">
      <w:rPr>
        <w:rStyle w:val="PageNumber"/>
        <w:sz w:val="20"/>
        <w:szCs w:val="20"/>
      </w:rPr>
      <w:fldChar w:fldCharType="end"/>
    </w:r>
  </w:p>
  <w:p w:rsidR="002E0E2B" w:rsidRDefault="002E0E2B">
    <w:pPr>
      <w:pStyle w:val="Footer"/>
    </w:pPr>
  </w:p>
  <w:p w:rsidR="002E0E2B" w:rsidRPr="000D5646" w:rsidRDefault="000D00DD" w:rsidP="002E0E2B">
    <w:pPr>
      <w:pStyle w:val="Footer"/>
      <w:jc w:val="right"/>
      <w:rPr>
        <w:sz w:val="18"/>
        <w:szCs w:val="18"/>
      </w:rPr>
    </w:pPr>
    <w:r>
      <w:rPr>
        <w:sz w:val="18"/>
        <w:szCs w:val="18"/>
      </w:rPr>
      <w:t xml:space="preserve">JW, </w:t>
    </w:r>
    <w:r w:rsidR="000E456D">
      <w:rPr>
        <w:sz w:val="18"/>
        <w:szCs w:val="18"/>
      </w:rPr>
      <w:t>April</w:t>
    </w:r>
    <w:r>
      <w:rPr>
        <w:sz w:val="18"/>
        <w:szCs w:val="18"/>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E2B" w:rsidRDefault="002E0E2B">
      <w:r>
        <w:separator/>
      </w:r>
    </w:p>
  </w:footnote>
  <w:footnote w:type="continuationSeparator" w:id="0">
    <w:p w:rsidR="002E0E2B" w:rsidRDefault="002E0E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E2B" w:rsidRPr="00885FE7" w:rsidRDefault="002E0E2B">
    <w:pPr>
      <w:pStyle w:val="Header"/>
      <w:rPr>
        <w:b/>
      </w:rPr>
    </w:pPr>
    <w:r>
      <w:rPr>
        <w:b/>
      </w:rPr>
      <w:t>Paper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50FE"/>
    <w:multiLevelType w:val="hybridMultilevel"/>
    <w:tmpl w:val="CF3C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0765D6"/>
    <w:multiLevelType w:val="hybridMultilevel"/>
    <w:tmpl w:val="CFDA6A24"/>
    <w:lvl w:ilvl="0" w:tplc="5C5A53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B165E4"/>
    <w:multiLevelType w:val="hybridMultilevel"/>
    <w:tmpl w:val="60EC9B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9B73FA"/>
    <w:multiLevelType w:val="hybridMultilevel"/>
    <w:tmpl w:val="2166B9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FBA7F33"/>
    <w:multiLevelType w:val="hybridMultilevel"/>
    <w:tmpl w:val="504CD9F2"/>
    <w:lvl w:ilvl="0" w:tplc="3412E43A">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955156B"/>
    <w:multiLevelType w:val="hybridMultilevel"/>
    <w:tmpl w:val="D178793E"/>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
    <w:nsid w:val="1C6C0D2A"/>
    <w:multiLevelType w:val="hybridMultilevel"/>
    <w:tmpl w:val="B12EDE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0D6ED5"/>
    <w:multiLevelType w:val="hybridMultilevel"/>
    <w:tmpl w:val="64047398"/>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2374E69"/>
    <w:multiLevelType w:val="hybridMultilevel"/>
    <w:tmpl w:val="C3681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9C36808"/>
    <w:multiLevelType w:val="hybridMultilevel"/>
    <w:tmpl w:val="F490ED0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56472D"/>
    <w:multiLevelType w:val="hybridMultilevel"/>
    <w:tmpl w:val="9FBECCA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955F89"/>
    <w:multiLevelType w:val="hybridMultilevel"/>
    <w:tmpl w:val="CCBA7EA0"/>
    <w:lvl w:ilvl="0" w:tplc="08090001">
      <w:start w:val="1"/>
      <w:numFmt w:val="bullet"/>
      <w:lvlText w:val=""/>
      <w:lvlJc w:val="left"/>
      <w:pPr>
        <w:ind w:left="580" w:hanging="360"/>
      </w:pPr>
      <w:rPr>
        <w:rFonts w:ascii="Symbol" w:hAnsi="Symbol" w:hint="default"/>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12">
    <w:nsid w:val="399415A5"/>
    <w:multiLevelType w:val="hybridMultilevel"/>
    <w:tmpl w:val="FA843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B256BD"/>
    <w:multiLevelType w:val="hybridMultilevel"/>
    <w:tmpl w:val="AC14F46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F933E72"/>
    <w:multiLevelType w:val="hybridMultilevel"/>
    <w:tmpl w:val="C4AC99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1D70FB1"/>
    <w:multiLevelType w:val="hybridMultilevel"/>
    <w:tmpl w:val="4B4882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8F04E2"/>
    <w:multiLevelType w:val="hybridMultilevel"/>
    <w:tmpl w:val="26EEC4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A310E79"/>
    <w:multiLevelType w:val="hybridMultilevel"/>
    <w:tmpl w:val="BAC8F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FCD3686"/>
    <w:multiLevelType w:val="hybridMultilevel"/>
    <w:tmpl w:val="DB444D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0896369"/>
    <w:multiLevelType w:val="hybridMultilevel"/>
    <w:tmpl w:val="FCBE9E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1265CF"/>
    <w:multiLevelType w:val="hybridMultilevel"/>
    <w:tmpl w:val="E7707B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52DF7B08"/>
    <w:multiLevelType w:val="hybridMultilevel"/>
    <w:tmpl w:val="6F102A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53F477AE"/>
    <w:multiLevelType w:val="hybridMultilevel"/>
    <w:tmpl w:val="3B42B3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7DF605E"/>
    <w:multiLevelType w:val="hybridMultilevel"/>
    <w:tmpl w:val="A164247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BD3291"/>
    <w:multiLevelType w:val="hybridMultilevel"/>
    <w:tmpl w:val="570CC1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BDF3B54"/>
    <w:multiLevelType w:val="hybridMultilevel"/>
    <w:tmpl w:val="9322E8B2"/>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DE30EF8"/>
    <w:multiLevelType w:val="hybridMultilevel"/>
    <w:tmpl w:val="10B66B72"/>
    <w:lvl w:ilvl="0" w:tplc="76F2AE9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643D3A29"/>
    <w:multiLevelType w:val="hybridMultilevel"/>
    <w:tmpl w:val="D4844E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67D51345"/>
    <w:multiLevelType w:val="hybridMultilevel"/>
    <w:tmpl w:val="E8188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A307043"/>
    <w:multiLevelType w:val="hybridMultilevel"/>
    <w:tmpl w:val="90188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C292678"/>
    <w:multiLevelType w:val="hybridMultilevel"/>
    <w:tmpl w:val="24542D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D1F09B5"/>
    <w:multiLevelType w:val="hybridMultilevel"/>
    <w:tmpl w:val="0DDE420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6D7919C9"/>
    <w:multiLevelType w:val="hybridMultilevel"/>
    <w:tmpl w:val="C46E4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DA63CC7"/>
    <w:multiLevelType w:val="hybridMultilevel"/>
    <w:tmpl w:val="08E8233E"/>
    <w:lvl w:ilvl="0" w:tplc="CDBC3D8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3B4228E"/>
    <w:multiLevelType w:val="hybridMultilevel"/>
    <w:tmpl w:val="A2C0350C"/>
    <w:lvl w:ilvl="0" w:tplc="08090001">
      <w:start w:val="1"/>
      <w:numFmt w:val="bullet"/>
      <w:lvlText w:val=""/>
      <w:lvlJc w:val="left"/>
      <w:pPr>
        <w:ind w:left="580" w:hanging="360"/>
      </w:pPr>
      <w:rPr>
        <w:rFonts w:ascii="Symbol" w:hAnsi="Symbol" w:hint="default"/>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35">
    <w:nsid w:val="73E0325E"/>
    <w:multiLevelType w:val="hybridMultilevel"/>
    <w:tmpl w:val="E66EA55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AF9794E"/>
    <w:multiLevelType w:val="hybridMultilevel"/>
    <w:tmpl w:val="E2A46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B1B1D8B"/>
    <w:multiLevelType w:val="hybridMultilevel"/>
    <w:tmpl w:val="12B4C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B59621B"/>
    <w:multiLevelType w:val="hybridMultilevel"/>
    <w:tmpl w:val="16DA2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CD832C0"/>
    <w:multiLevelType w:val="hybridMultilevel"/>
    <w:tmpl w:val="75A6D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D1E3D91"/>
    <w:multiLevelType w:val="hybridMultilevel"/>
    <w:tmpl w:val="521099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3A60F4"/>
    <w:multiLevelType w:val="hybridMultilevel"/>
    <w:tmpl w:val="86AC1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DD70438"/>
    <w:multiLevelType w:val="hybridMultilevel"/>
    <w:tmpl w:val="2A649F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11"/>
  </w:num>
  <w:num w:numId="3">
    <w:abstractNumId w:val="15"/>
  </w:num>
  <w:num w:numId="4">
    <w:abstractNumId w:val="13"/>
  </w:num>
  <w:num w:numId="5">
    <w:abstractNumId w:val="30"/>
  </w:num>
  <w:num w:numId="6">
    <w:abstractNumId w:val="34"/>
  </w:num>
  <w:num w:numId="7">
    <w:abstractNumId w:val="6"/>
  </w:num>
  <w:num w:numId="8">
    <w:abstractNumId w:val="12"/>
  </w:num>
  <w:num w:numId="9">
    <w:abstractNumId w:val="38"/>
  </w:num>
  <w:num w:numId="10">
    <w:abstractNumId w:val="32"/>
  </w:num>
  <w:num w:numId="11">
    <w:abstractNumId w:val="37"/>
  </w:num>
  <w:num w:numId="12">
    <w:abstractNumId w:val="40"/>
  </w:num>
  <w:num w:numId="13">
    <w:abstractNumId w:val="31"/>
  </w:num>
  <w:num w:numId="14">
    <w:abstractNumId w:val="21"/>
  </w:num>
  <w:num w:numId="15">
    <w:abstractNumId w:val="16"/>
  </w:num>
  <w:num w:numId="16">
    <w:abstractNumId w:val="27"/>
  </w:num>
  <w:num w:numId="17">
    <w:abstractNumId w:val="8"/>
  </w:num>
  <w:num w:numId="18">
    <w:abstractNumId w:val="3"/>
  </w:num>
  <w:num w:numId="19">
    <w:abstractNumId w:val="20"/>
  </w:num>
  <w:num w:numId="20">
    <w:abstractNumId w:val="22"/>
  </w:num>
  <w:num w:numId="21">
    <w:abstractNumId w:val="14"/>
  </w:num>
  <w:num w:numId="22">
    <w:abstractNumId w:val="19"/>
  </w:num>
  <w:num w:numId="23">
    <w:abstractNumId w:val="4"/>
  </w:num>
  <w:num w:numId="24">
    <w:abstractNumId w:val="39"/>
  </w:num>
  <w:num w:numId="25">
    <w:abstractNumId w:val="26"/>
  </w:num>
  <w:num w:numId="26">
    <w:abstractNumId w:val="0"/>
  </w:num>
  <w:num w:numId="27">
    <w:abstractNumId w:val="28"/>
  </w:num>
  <w:num w:numId="28">
    <w:abstractNumId w:val="17"/>
  </w:num>
  <w:num w:numId="29">
    <w:abstractNumId w:val="24"/>
  </w:num>
  <w:num w:numId="30">
    <w:abstractNumId w:val="36"/>
  </w:num>
  <w:num w:numId="31">
    <w:abstractNumId w:val="29"/>
  </w:num>
  <w:num w:numId="32">
    <w:abstractNumId w:val="41"/>
  </w:num>
  <w:num w:numId="33">
    <w:abstractNumId w:val="18"/>
  </w:num>
  <w:num w:numId="34">
    <w:abstractNumId w:val="7"/>
  </w:num>
  <w:num w:numId="35">
    <w:abstractNumId w:val="10"/>
  </w:num>
  <w:num w:numId="36">
    <w:abstractNumId w:val="42"/>
  </w:num>
  <w:num w:numId="37">
    <w:abstractNumId w:val="25"/>
  </w:num>
  <w:num w:numId="38">
    <w:abstractNumId w:val="23"/>
  </w:num>
  <w:num w:numId="39">
    <w:abstractNumId w:val="5"/>
  </w:num>
  <w:num w:numId="40">
    <w:abstractNumId w:val="2"/>
  </w:num>
  <w:num w:numId="41">
    <w:abstractNumId w:val="9"/>
  </w:num>
  <w:num w:numId="42">
    <w:abstractNumId w:val="35"/>
  </w:num>
  <w:num w:numId="43">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9E0"/>
    <w:rsid w:val="00007FF0"/>
    <w:rsid w:val="00010288"/>
    <w:rsid w:val="00010C46"/>
    <w:rsid w:val="00014B2A"/>
    <w:rsid w:val="00015B91"/>
    <w:rsid w:val="00017923"/>
    <w:rsid w:val="00026C3C"/>
    <w:rsid w:val="00032EB3"/>
    <w:rsid w:val="000418F8"/>
    <w:rsid w:val="00044C26"/>
    <w:rsid w:val="00052EF6"/>
    <w:rsid w:val="0008317A"/>
    <w:rsid w:val="000A1F4A"/>
    <w:rsid w:val="000A314A"/>
    <w:rsid w:val="000A427F"/>
    <w:rsid w:val="000A4EDE"/>
    <w:rsid w:val="000B1430"/>
    <w:rsid w:val="000C5503"/>
    <w:rsid w:val="000D00DD"/>
    <w:rsid w:val="000D19A6"/>
    <w:rsid w:val="000D2C95"/>
    <w:rsid w:val="000D5646"/>
    <w:rsid w:val="000E1B38"/>
    <w:rsid w:val="000E2435"/>
    <w:rsid w:val="000E456D"/>
    <w:rsid w:val="000E5455"/>
    <w:rsid w:val="000F264C"/>
    <w:rsid w:val="0011130F"/>
    <w:rsid w:val="00113529"/>
    <w:rsid w:val="00124CA4"/>
    <w:rsid w:val="00127960"/>
    <w:rsid w:val="001337F9"/>
    <w:rsid w:val="0013495C"/>
    <w:rsid w:val="001526A9"/>
    <w:rsid w:val="00152DA7"/>
    <w:rsid w:val="001560E3"/>
    <w:rsid w:val="00164951"/>
    <w:rsid w:val="00166655"/>
    <w:rsid w:val="00171CD4"/>
    <w:rsid w:val="00180578"/>
    <w:rsid w:val="00191B52"/>
    <w:rsid w:val="001955D7"/>
    <w:rsid w:val="001A27FE"/>
    <w:rsid w:val="001B229E"/>
    <w:rsid w:val="001D2D34"/>
    <w:rsid w:val="001F16C0"/>
    <w:rsid w:val="001F6D53"/>
    <w:rsid w:val="00200320"/>
    <w:rsid w:val="0020138C"/>
    <w:rsid w:val="00217A52"/>
    <w:rsid w:val="00225571"/>
    <w:rsid w:val="002337B5"/>
    <w:rsid w:val="0024000A"/>
    <w:rsid w:val="002435D3"/>
    <w:rsid w:val="00251F69"/>
    <w:rsid w:val="00252807"/>
    <w:rsid w:val="00255ED3"/>
    <w:rsid w:val="002614B0"/>
    <w:rsid w:val="0026501F"/>
    <w:rsid w:val="0026603A"/>
    <w:rsid w:val="002661DF"/>
    <w:rsid w:val="0028762B"/>
    <w:rsid w:val="00292825"/>
    <w:rsid w:val="00294E63"/>
    <w:rsid w:val="00296BE5"/>
    <w:rsid w:val="002B4D9F"/>
    <w:rsid w:val="002B7262"/>
    <w:rsid w:val="002B7768"/>
    <w:rsid w:val="002D5A68"/>
    <w:rsid w:val="002E0E2B"/>
    <w:rsid w:val="002E35C3"/>
    <w:rsid w:val="002E5E11"/>
    <w:rsid w:val="002F01F4"/>
    <w:rsid w:val="003017CD"/>
    <w:rsid w:val="003153E7"/>
    <w:rsid w:val="00332961"/>
    <w:rsid w:val="003447A3"/>
    <w:rsid w:val="00347D4A"/>
    <w:rsid w:val="00357EDE"/>
    <w:rsid w:val="00373D14"/>
    <w:rsid w:val="00392A7A"/>
    <w:rsid w:val="003A0EEA"/>
    <w:rsid w:val="003A1272"/>
    <w:rsid w:val="003A6B6A"/>
    <w:rsid w:val="003B556B"/>
    <w:rsid w:val="003C6775"/>
    <w:rsid w:val="003D2C5C"/>
    <w:rsid w:val="003D544C"/>
    <w:rsid w:val="003D7A36"/>
    <w:rsid w:val="003E1AC3"/>
    <w:rsid w:val="003E6A69"/>
    <w:rsid w:val="003F3C66"/>
    <w:rsid w:val="00401D5C"/>
    <w:rsid w:val="00407576"/>
    <w:rsid w:val="004214AD"/>
    <w:rsid w:val="00427254"/>
    <w:rsid w:val="00431F14"/>
    <w:rsid w:val="00432D6C"/>
    <w:rsid w:val="00446127"/>
    <w:rsid w:val="0045401C"/>
    <w:rsid w:val="00467425"/>
    <w:rsid w:val="00470FF9"/>
    <w:rsid w:val="004872EF"/>
    <w:rsid w:val="004948A0"/>
    <w:rsid w:val="00496B6F"/>
    <w:rsid w:val="004A71E9"/>
    <w:rsid w:val="004B065C"/>
    <w:rsid w:val="004B424C"/>
    <w:rsid w:val="004B547E"/>
    <w:rsid w:val="004B5646"/>
    <w:rsid w:val="004C0A34"/>
    <w:rsid w:val="004C2C6F"/>
    <w:rsid w:val="004C7277"/>
    <w:rsid w:val="004D1EB6"/>
    <w:rsid w:val="004E0317"/>
    <w:rsid w:val="004E6D5D"/>
    <w:rsid w:val="00504776"/>
    <w:rsid w:val="00506061"/>
    <w:rsid w:val="00513F14"/>
    <w:rsid w:val="00523CA6"/>
    <w:rsid w:val="00525329"/>
    <w:rsid w:val="00525FB6"/>
    <w:rsid w:val="0053146A"/>
    <w:rsid w:val="00535EDF"/>
    <w:rsid w:val="0053682A"/>
    <w:rsid w:val="005403DC"/>
    <w:rsid w:val="00543220"/>
    <w:rsid w:val="005440D3"/>
    <w:rsid w:val="00551071"/>
    <w:rsid w:val="00551107"/>
    <w:rsid w:val="0057251E"/>
    <w:rsid w:val="0057649F"/>
    <w:rsid w:val="00591FE5"/>
    <w:rsid w:val="005A5BEF"/>
    <w:rsid w:val="005A75C0"/>
    <w:rsid w:val="005B57A6"/>
    <w:rsid w:val="005C313C"/>
    <w:rsid w:val="005E1EE1"/>
    <w:rsid w:val="005E30E0"/>
    <w:rsid w:val="005F1A06"/>
    <w:rsid w:val="00603642"/>
    <w:rsid w:val="006057B3"/>
    <w:rsid w:val="00605943"/>
    <w:rsid w:val="00613413"/>
    <w:rsid w:val="00614C24"/>
    <w:rsid w:val="00614E43"/>
    <w:rsid w:val="00616B6C"/>
    <w:rsid w:val="00634CBD"/>
    <w:rsid w:val="00646D20"/>
    <w:rsid w:val="00653D86"/>
    <w:rsid w:val="00692F65"/>
    <w:rsid w:val="006A28AF"/>
    <w:rsid w:val="006A59AF"/>
    <w:rsid w:val="006B7AAF"/>
    <w:rsid w:val="006D5FB7"/>
    <w:rsid w:val="006D648B"/>
    <w:rsid w:val="006F56A5"/>
    <w:rsid w:val="006F5C69"/>
    <w:rsid w:val="00700A26"/>
    <w:rsid w:val="00705E35"/>
    <w:rsid w:val="0071568A"/>
    <w:rsid w:val="00725036"/>
    <w:rsid w:val="00733340"/>
    <w:rsid w:val="00737BCA"/>
    <w:rsid w:val="00751EC9"/>
    <w:rsid w:val="00754E70"/>
    <w:rsid w:val="00765912"/>
    <w:rsid w:val="00765970"/>
    <w:rsid w:val="00775038"/>
    <w:rsid w:val="00792E2C"/>
    <w:rsid w:val="007947F6"/>
    <w:rsid w:val="007A002E"/>
    <w:rsid w:val="007A1593"/>
    <w:rsid w:val="007B0AC4"/>
    <w:rsid w:val="007B552B"/>
    <w:rsid w:val="007B74B6"/>
    <w:rsid w:val="007C2ACC"/>
    <w:rsid w:val="007D0A1E"/>
    <w:rsid w:val="007D4035"/>
    <w:rsid w:val="007F04B5"/>
    <w:rsid w:val="007F0B03"/>
    <w:rsid w:val="007F6C68"/>
    <w:rsid w:val="00800207"/>
    <w:rsid w:val="0081673B"/>
    <w:rsid w:val="00821AEE"/>
    <w:rsid w:val="008241E5"/>
    <w:rsid w:val="008272FB"/>
    <w:rsid w:val="008300F9"/>
    <w:rsid w:val="0084794F"/>
    <w:rsid w:val="00852B45"/>
    <w:rsid w:val="00854D3C"/>
    <w:rsid w:val="008751BC"/>
    <w:rsid w:val="008767FE"/>
    <w:rsid w:val="00883192"/>
    <w:rsid w:val="00883640"/>
    <w:rsid w:val="00885FE7"/>
    <w:rsid w:val="00887EB3"/>
    <w:rsid w:val="0089143F"/>
    <w:rsid w:val="008930C5"/>
    <w:rsid w:val="008A5C5D"/>
    <w:rsid w:val="008C1D3B"/>
    <w:rsid w:val="008C24B2"/>
    <w:rsid w:val="008C29E4"/>
    <w:rsid w:val="008C5726"/>
    <w:rsid w:val="008D0CF1"/>
    <w:rsid w:val="008D677B"/>
    <w:rsid w:val="008E2F7E"/>
    <w:rsid w:val="008E3C55"/>
    <w:rsid w:val="008E6685"/>
    <w:rsid w:val="00912F27"/>
    <w:rsid w:val="009251FD"/>
    <w:rsid w:val="0093158B"/>
    <w:rsid w:val="00932325"/>
    <w:rsid w:val="0093255C"/>
    <w:rsid w:val="00946044"/>
    <w:rsid w:val="00950600"/>
    <w:rsid w:val="0095352A"/>
    <w:rsid w:val="009613B0"/>
    <w:rsid w:val="009716EB"/>
    <w:rsid w:val="00983E4C"/>
    <w:rsid w:val="00993498"/>
    <w:rsid w:val="009953A0"/>
    <w:rsid w:val="009A1770"/>
    <w:rsid w:val="009A2733"/>
    <w:rsid w:val="009A4D93"/>
    <w:rsid w:val="009A5767"/>
    <w:rsid w:val="009C149B"/>
    <w:rsid w:val="009E5959"/>
    <w:rsid w:val="00A05071"/>
    <w:rsid w:val="00A05E67"/>
    <w:rsid w:val="00A3484D"/>
    <w:rsid w:val="00A35AC5"/>
    <w:rsid w:val="00A40FF6"/>
    <w:rsid w:val="00A611A3"/>
    <w:rsid w:val="00A935E0"/>
    <w:rsid w:val="00AA3A0C"/>
    <w:rsid w:val="00AB7DAE"/>
    <w:rsid w:val="00AC427F"/>
    <w:rsid w:val="00AC7021"/>
    <w:rsid w:val="00AE5618"/>
    <w:rsid w:val="00AF4000"/>
    <w:rsid w:val="00B056F1"/>
    <w:rsid w:val="00B101A8"/>
    <w:rsid w:val="00B10238"/>
    <w:rsid w:val="00B10D9E"/>
    <w:rsid w:val="00B330BE"/>
    <w:rsid w:val="00B40653"/>
    <w:rsid w:val="00B538EE"/>
    <w:rsid w:val="00B555D2"/>
    <w:rsid w:val="00B6056C"/>
    <w:rsid w:val="00B61E42"/>
    <w:rsid w:val="00B632DF"/>
    <w:rsid w:val="00B70D65"/>
    <w:rsid w:val="00B71841"/>
    <w:rsid w:val="00B815F6"/>
    <w:rsid w:val="00B824BF"/>
    <w:rsid w:val="00B8672E"/>
    <w:rsid w:val="00B9146E"/>
    <w:rsid w:val="00BB1572"/>
    <w:rsid w:val="00BB263C"/>
    <w:rsid w:val="00BB4809"/>
    <w:rsid w:val="00BC1B31"/>
    <w:rsid w:val="00BC1EDF"/>
    <w:rsid w:val="00BC2F0E"/>
    <w:rsid w:val="00BC2FEA"/>
    <w:rsid w:val="00BC3638"/>
    <w:rsid w:val="00BC4463"/>
    <w:rsid w:val="00BD22A9"/>
    <w:rsid w:val="00BD54C6"/>
    <w:rsid w:val="00BE2D9A"/>
    <w:rsid w:val="00BE2F29"/>
    <w:rsid w:val="00BE4AB7"/>
    <w:rsid w:val="00BF00D2"/>
    <w:rsid w:val="00C074DC"/>
    <w:rsid w:val="00C07DF5"/>
    <w:rsid w:val="00C11AC9"/>
    <w:rsid w:val="00C16E49"/>
    <w:rsid w:val="00C252A2"/>
    <w:rsid w:val="00C26B81"/>
    <w:rsid w:val="00C2748B"/>
    <w:rsid w:val="00C32173"/>
    <w:rsid w:val="00C42296"/>
    <w:rsid w:val="00C43CBB"/>
    <w:rsid w:val="00C459A4"/>
    <w:rsid w:val="00C60110"/>
    <w:rsid w:val="00C642ED"/>
    <w:rsid w:val="00C76367"/>
    <w:rsid w:val="00C83DEF"/>
    <w:rsid w:val="00C92325"/>
    <w:rsid w:val="00C93956"/>
    <w:rsid w:val="00CA1C05"/>
    <w:rsid w:val="00CA2DC3"/>
    <w:rsid w:val="00CB3982"/>
    <w:rsid w:val="00CB4E4E"/>
    <w:rsid w:val="00CB7722"/>
    <w:rsid w:val="00CC6D4B"/>
    <w:rsid w:val="00CD26F6"/>
    <w:rsid w:val="00CE48EB"/>
    <w:rsid w:val="00CE5A45"/>
    <w:rsid w:val="00CE70FA"/>
    <w:rsid w:val="00CE74DD"/>
    <w:rsid w:val="00CF1D80"/>
    <w:rsid w:val="00D05FD3"/>
    <w:rsid w:val="00D06F9D"/>
    <w:rsid w:val="00D15467"/>
    <w:rsid w:val="00D160BA"/>
    <w:rsid w:val="00D26078"/>
    <w:rsid w:val="00D26399"/>
    <w:rsid w:val="00D62F1D"/>
    <w:rsid w:val="00D66D6D"/>
    <w:rsid w:val="00D84D67"/>
    <w:rsid w:val="00D91792"/>
    <w:rsid w:val="00DA09E0"/>
    <w:rsid w:val="00DB0698"/>
    <w:rsid w:val="00DB2DBF"/>
    <w:rsid w:val="00DC3AED"/>
    <w:rsid w:val="00DD1D3F"/>
    <w:rsid w:val="00DD40D8"/>
    <w:rsid w:val="00DE4E54"/>
    <w:rsid w:val="00E038A9"/>
    <w:rsid w:val="00E066EF"/>
    <w:rsid w:val="00E07BE8"/>
    <w:rsid w:val="00E143FD"/>
    <w:rsid w:val="00E16297"/>
    <w:rsid w:val="00E20DEB"/>
    <w:rsid w:val="00E27A2C"/>
    <w:rsid w:val="00E32446"/>
    <w:rsid w:val="00E364BE"/>
    <w:rsid w:val="00E50BE4"/>
    <w:rsid w:val="00E55A35"/>
    <w:rsid w:val="00E61AA1"/>
    <w:rsid w:val="00E63795"/>
    <w:rsid w:val="00E66841"/>
    <w:rsid w:val="00E81F4E"/>
    <w:rsid w:val="00E918C0"/>
    <w:rsid w:val="00EA0A46"/>
    <w:rsid w:val="00EB1C1D"/>
    <w:rsid w:val="00EB452D"/>
    <w:rsid w:val="00EC0C41"/>
    <w:rsid w:val="00EC70E0"/>
    <w:rsid w:val="00ED0867"/>
    <w:rsid w:val="00ED7CBB"/>
    <w:rsid w:val="00EE3B89"/>
    <w:rsid w:val="00EF1ABF"/>
    <w:rsid w:val="00EF68E5"/>
    <w:rsid w:val="00F15661"/>
    <w:rsid w:val="00F15ED2"/>
    <w:rsid w:val="00F74664"/>
    <w:rsid w:val="00F75786"/>
    <w:rsid w:val="00F760AA"/>
    <w:rsid w:val="00FA1A60"/>
    <w:rsid w:val="00FB2C29"/>
    <w:rsid w:val="00FC0911"/>
    <w:rsid w:val="00FC110A"/>
    <w:rsid w:val="00FC57E7"/>
    <w:rsid w:val="00FD22AD"/>
    <w:rsid w:val="00FD602D"/>
    <w:rsid w:val="00FE2799"/>
    <w:rsid w:val="00FE27F6"/>
    <w:rsid w:val="00FE543E"/>
    <w:rsid w:val="00FF0641"/>
    <w:rsid w:val="00FF3986"/>
    <w:rsid w:val="00FF7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9E0"/>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9E0"/>
    <w:pPr>
      <w:ind w:left="720"/>
      <w:contextualSpacing/>
    </w:pPr>
  </w:style>
  <w:style w:type="paragraph" w:styleId="Footer">
    <w:name w:val="footer"/>
    <w:basedOn w:val="Normal"/>
    <w:link w:val="FooterChar"/>
    <w:uiPriority w:val="99"/>
    <w:unhideWhenUsed/>
    <w:rsid w:val="00DA09E0"/>
    <w:pPr>
      <w:tabs>
        <w:tab w:val="center" w:pos="4320"/>
        <w:tab w:val="right" w:pos="8640"/>
      </w:tabs>
    </w:pPr>
  </w:style>
  <w:style w:type="character" w:customStyle="1" w:styleId="FooterChar">
    <w:name w:val="Footer Char"/>
    <w:basedOn w:val="DefaultParagraphFont"/>
    <w:link w:val="Footer"/>
    <w:uiPriority w:val="99"/>
    <w:rsid w:val="00DA09E0"/>
    <w:rPr>
      <w:rFonts w:eastAsiaTheme="minorEastAsia"/>
      <w:sz w:val="24"/>
      <w:szCs w:val="24"/>
      <w:lang w:val="en-US"/>
    </w:rPr>
  </w:style>
  <w:style w:type="character" w:styleId="PageNumber">
    <w:name w:val="page number"/>
    <w:basedOn w:val="DefaultParagraphFont"/>
    <w:uiPriority w:val="99"/>
    <w:semiHidden/>
    <w:unhideWhenUsed/>
    <w:rsid w:val="00DA09E0"/>
  </w:style>
  <w:style w:type="paragraph" w:styleId="Header">
    <w:name w:val="header"/>
    <w:basedOn w:val="Normal"/>
    <w:link w:val="HeaderChar"/>
    <w:uiPriority w:val="99"/>
    <w:unhideWhenUsed/>
    <w:rsid w:val="000D5646"/>
    <w:pPr>
      <w:tabs>
        <w:tab w:val="center" w:pos="4513"/>
        <w:tab w:val="right" w:pos="9026"/>
      </w:tabs>
    </w:pPr>
  </w:style>
  <w:style w:type="character" w:customStyle="1" w:styleId="HeaderChar">
    <w:name w:val="Header Char"/>
    <w:basedOn w:val="DefaultParagraphFont"/>
    <w:link w:val="Header"/>
    <w:uiPriority w:val="99"/>
    <w:rsid w:val="000D5646"/>
    <w:rPr>
      <w:rFonts w:eastAsiaTheme="minorEastAsia"/>
      <w:sz w:val="24"/>
      <w:szCs w:val="24"/>
      <w:lang w:val="en-US"/>
    </w:rPr>
  </w:style>
  <w:style w:type="paragraph" w:styleId="BalloonText">
    <w:name w:val="Balloon Text"/>
    <w:basedOn w:val="Normal"/>
    <w:link w:val="BalloonTextChar"/>
    <w:uiPriority w:val="99"/>
    <w:semiHidden/>
    <w:unhideWhenUsed/>
    <w:rsid w:val="006F5C69"/>
    <w:rPr>
      <w:rFonts w:ascii="Arial" w:hAnsi="Arial" w:cs="Arial"/>
      <w:sz w:val="16"/>
      <w:szCs w:val="16"/>
    </w:rPr>
  </w:style>
  <w:style w:type="character" w:customStyle="1" w:styleId="BalloonTextChar">
    <w:name w:val="Balloon Text Char"/>
    <w:basedOn w:val="DefaultParagraphFont"/>
    <w:link w:val="BalloonText"/>
    <w:uiPriority w:val="99"/>
    <w:semiHidden/>
    <w:rsid w:val="006F5C69"/>
    <w:rPr>
      <w:rFonts w:ascii="Arial" w:eastAsiaTheme="minorEastAsia" w:hAnsi="Arial" w:cs="Arial"/>
      <w:sz w:val="16"/>
      <w:szCs w:val="16"/>
      <w:lang w:val="en-US"/>
    </w:rPr>
  </w:style>
  <w:style w:type="character" w:styleId="Hyperlink">
    <w:name w:val="Hyperlink"/>
    <w:basedOn w:val="DefaultParagraphFont"/>
    <w:rsid w:val="00F15ED2"/>
    <w:rPr>
      <w:color w:val="0000FF"/>
      <w:u w:val="single"/>
    </w:rPr>
  </w:style>
  <w:style w:type="paragraph" w:customStyle="1" w:styleId="Default">
    <w:name w:val="Default"/>
    <w:rsid w:val="00431F14"/>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0E456D"/>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E456D"/>
    <w:rPr>
      <w:sz w:val="16"/>
      <w:szCs w:val="16"/>
    </w:rPr>
  </w:style>
  <w:style w:type="paragraph" w:styleId="CommentText">
    <w:name w:val="annotation text"/>
    <w:basedOn w:val="Normal"/>
    <w:link w:val="CommentTextChar"/>
    <w:uiPriority w:val="99"/>
    <w:semiHidden/>
    <w:unhideWhenUsed/>
    <w:rsid w:val="000E456D"/>
    <w:pPr>
      <w:spacing w:after="200"/>
    </w:pPr>
    <w:rPr>
      <w:rFonts w:eastAsiaTheme="minorHAnsi"/>
      <w:sz w:val="20"/>
      <w:szCs w:val="20"/>
      <w:lang w:val="en-GB"/>
    </w:rPr>
  </w:style>
  <w:style w:type="character" w:customStyle="1" w:styleId="CommentTextChar">
    <w:name w:val="Comment Text Char"/>
    <w:basedOn w:val="DefaultParagraphFont"/>
    <w:link w:val="CommentText"/>
    <w:uiPriority w:val="99"/>
    <w:semiHidden/>
    <w:rsid w:val="000E456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9E0"/>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9E0"/>
    <w:pPr>
      <w:ind w:left="720"/>
      <w:contextualSpacing/>
    </w:pPr>
  </w:style>
  <w:style w:type="paragraph" w:styleId="Footer">
    <w:name w:val="footer"/>
    <w:basedOn w:val="Normal"/>
    <w:link w:val="FooterChar"/>
    <w:uiPriority w:val="99"/>
    <w:unhideWhenUsed/>
    <w:rsid w:val="00DA09E0"/>
    <w:pPr>
      <w:tabs>
        <w:tab w:val="center" w:pos="4320"/>
        <w:tab w:val="right" w:pos="8640"/>
      </w:tabs>
    </w:pPr>
  </w:style>
  <w:style w:type="character" w:customStyle="1" w:styleId="FooterChar">
    <w:name w:val="Footer Char"/>
    <w:basedOn w:val="DefaultParagraphFont"/>
    <w:link w:val="Footer"/>
    <w:uiPriority w:val="99"/>
    <w:rsid w:val="00DA09E0"/>
    <w:rPr>
      <w:rFonts w:eastAsiaTheme="minorEastAsia"/>
      <w:sz w:val="24"/>
      <w:szCs w:val="24"/>
      <w:lang w:val="en-US"/>
    </w:rPr>
  </w:style>
  <w:style w:type="character" w:styleId="PageNumber">
    <w:name w:val="page number"/>
    <w:basedOn w:val="DefaultParagraphFont"/>
    <w:uiPriority w:val="99"/>
    <w:semiHidden/>
    <w:unhideWhenUsed/>
    <w:rsid w:val="00DA09E0"/>
  </w:style>
  <w:style w:type="paragraph" w:styleId="Header">
    <w:name w:val="header"/>
    <w:basedOn w:val="Normal"/>
    <w:link w:val="HeaderChar"/>
    <w:uiPriority w:val="99"/>
    <w:unhideWhenUsed/>
    <w:rsid w:val="000D5646"/>
    <w:pPr>
      <w:tabs>
        <w:tab w:val="center" w:pos="4513"/>
        <w:tab w:val="right" w:pos="9026"/>
      </w:tabs>
    </w:pPr>
  </w:style>
  <w:style w:type="character" w:customStyle="1" w:styleId="HeaderChar">
    <w:name w:val="Header Char"/>
    <w:basedOn w:val="DefaultParagraphFont"/>
    <w:link w:val="Header"/>
    <w:uiPriority w:val="99"/>
    <w:rsid w:val="000D5646"/>
    <w:rPr>
      <w:rFonts w:eastAsiaTheme="minorEastAsia"/>
      <w:sz w:val="24"/>
      <w:szCs w:val="24"/>
      <w:lang w:val="en-US"/>
    </w:rPr>
  </w:style>
  <w:style w:type="paragraph" w:styleId="BalloonText">
    <w:name w:val="Balloon Text"/>
    <w:basedOn w:val="Normal"/>
    <w:link w:val="BalloonTextChar"/>
    <w:uiPriority w:val="99"/>
    <w:semiHidden/>
    <w:unhideWhenUsed/>
    <w:rsid w:val="006F5C69"/>
    <w:rPr>
      <w:rFonts w:ascii="Arial" w:hAnsi="Arial" w:cs="Arial"/>
      <w:sz w:val="16"/>
      <w:szCs w:val="16"/>
    </w:rPr>
  </w:style>
  <w:style w:type="character" w:customStyle="1" w:styleId="BalloonTextChar">
    <w:name w:val="Balloon Text Char"/>
    <w:basedOn w:val="DefaultParagraphFont"/>
    <w:link w:val="BalloonText"/>
    <w:uiPriority w:val="99"/>
    <w:semiHidden/>
    <w:rsid w:val="006F5C69"/>
    <w:rPr>
      <w:rFonts w:ascii="Arial" w:eastAsiaTheme="minorEastAsia" w:hAnsi="Arial" w:cs="Arial"/>
      <w:sz w:val="16"/>
      <w:szCs w:val="16"/>
      <w:lang w:val="en-US"/>
    </w:rPr>
  </w:style>
  <w:style w:type="character" w:styleId="Hyperlink">
    <w:name w:val="Hyperlink"/>
    <w:basedOn w:val="DefaultParagraphFont"/>
    <w:rsid w:val="00F15ED2"/>
    <w:rPr>
      <w:color w:val="0000FF"/>
      <w:u w:val="single"/>
    </w:rPr>
  </w:style>
  <w:style w:type="paragraph" w:customStyle="1" w:styleId="Default">
    <w:name w:val="Default"/>
    <w:rsid w:val="00431F14"/>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0E456D"/>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E456D"/>
    <w:rPr>
      <w:sz w:val="16"/>
      <w:szCs w:val="16"/>
    </w:rPr>
  </w:style>
  <w:style w:type="paragraph" w:styleId="CommentText">
    <w:name w:val="annotation text"/>
    <w:basedOn w:val="Normal"/>
    <w:link w:val="CommentTextChar"/>
    <w:uiPriority w:val="99"/>
    <w:semiHidden/>
    <w:unhideWhenUsed/>
    <w:rsid w:val="000E456D"/>
    <w:pPr>
      <w:spacing w:after="200"/>
    </w:pPr>
    <w:rPr>
      <w:rFonts w:eastAsiaTheme="minorHAnsi"/>
      <w:sz w:val="20"/>
      <w:szCs w:val="20"/>
      <w:lang w:val="en-GB"/>
    </w:rPr>
  </w:style>
  <w:style w:type="character" w:customStyle="1" w:styleId="CommentTextChar">
    <w:name w:val="Comment Text Char"/>
    <w:basedOn w:val="DefaultParagraphFont"/>
    <w:link w:val="CommentText"/>
    <w:uiPriority w:val="99"/>
    <w:semiHidden/>
    <w:rsid w:val="000E456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88651">
      <w:bodyDiv w:val="1"/>
      <w:marLeft w:val="0"/>
      <w:marRight w:val="0"/>
      <w:marTop w:val="0"/>
      <w:marBottom w:val="0"/>
      <w:divBdr>
        <w:top w:val="none" w:sz="0" w:space="0" w:color="auto"/>
        <w:left w:val="none" w:sz="0" w:space="0" w:color="auto"/>
        <w:bottom w:val="none" w:sz="0" w:space="0" w:color="auto"/>
        <w:right w:val="none" w:sz="0" w:space="0" w:color="auto"/>
      </w:divBdr>
    </w:div>
    <w:div w:id="257325927">
      <w:bodyDiv w:val="1"/>
      <w:marLeft w:val="0"/>
      <w:marRight w:val="0"/>
      <w:marTop w:val="0"/>
      <w:marBottom w:val="0"/>
      <w:divBdr>
        <w:top w:val="none" w:sz="0" w:space="0" w:color="auto"/>
        <w:left w:val="none" w:sz="0" w:space="0" w:color="auto"/>
        <w:bottom w:val="none" w:sz="0" w:space="0" w:color="auto"/>
        <w:right w:val="none" w:sz="0" w:space="0" w:color="auto"/>
      </w:divBdr>
    </w:div>
    <w:div w:id="339281980">
      <w:bodyDiv w:val="1"/>
      <w:marLeft w:val="0"/>
      <w:marRight w:val="0"/>
      <w:marTop w:val="0"/>
      <w:marBottom w:val="0"/>
      <w:divBdr>
        <w:top w:val="none" w:sz="0" w:space="0" w:color="auto"/>
        <w:left w:val="none" w:sz="0" w:space="0" w:color="auto"/>
        <w:bottom w:val="none" w:sz="0" w:space="0" w:color="auto"/>
        <w:right w:val="none" w:sz="0" w:space="0" w:color="auto"/>
      </w:divBdr>
      <w:divsChild>
        <w:div w:id="800417011">
          <w:marLeft w:val="720"/>
          <w:marRight w:val="0"/>
          <w:marTop w:val="360"/>
          <w:marBottom w:val="0"/>
          <w:divBdr>
            <w:top w:val="none" w:sz="0" w:space="0" w:color="auto"/>
            <w:left w:val="none" w:sz="0" w:space="0" w:color="auto"/>
            <w:bottom w:val="none" w:sz="0" w:space="0" w:color="auto"/>
            <w:right w:val="none" w:sz="0" w:space="0" w:color="auto"/>
          </w:divBdr>
        </w:div>
        <w:div w:id="183593143">
          <w:marLeft w:val="720"/>
          <w:marRight w:val="0"/>
          <w:marTop w:val="360"/>
          <w:marBottom w:val="0"/>
          <w:divBdr>
            <w:top w:val="none" w:sz="0" w:space="0" w:color="auto"/>
            <w:left w:val="none" w:sz="0" w:space="0" w:color="auto"/>
            <w:bottom w:val="none" w:sz="0" w:space="0" w:color="auto"/>
            <w:right w:val="none" w:sz="0" w:space="0" w:color="auto"/>
          </w:divBdr>
        </w:div>
        <w:div w:id="1385173928">
          <w:marLeft w:val="720"/>
          <w:marRight w:val="0"/>
          <w:marTop w:val="360"/>
          <w:marBottom w:val="0"/>
          <w:divBdr>
            <w:top w:val="none" w:sz="0" w:space="0" w:color="auto"/>
            <w:left w:val="none" w:sz="0" w:space="0" w:color="auto"/>
            <w:bottom w:val="none" w:sz="0" w:space="0" w:color="auto"/>
            <w:right w:val="none" w:sz="0" w:space="0" w:color="auto"/>
          </w:divBdr>
        </w:div>
        <w:div w:id="2025983968">
          <w:marLeft w:val="720"/>
          <w:marRight w:val="0"/>
          <w:marTop w:val="360"/>
          <w:marBottom w:val="0"/>
          <w:divBdr>
            <w:top w:val="none" w:sz="0" w:space="0" w:color="auto"/>
            <w:left w:val="none" w:sz="0" w:space="0" w:color="auto"/>
            <w:bottom w:val="none" w:sz="0" w:space="0" w:color="auto"/>
            <w:right w:val="none" w:sz="0" w:space="0" w:color="auto"/>
          </w:divBdr>
        </w:div>
        <w:div w:id="1066337024">
          <w:marLeft w:val="720"/>
          <w:marRight w:val="0"/>
          <w:marTop w:val="360"/>
          <w:marBottom w:val="0"/>
          <w:divBdr>
            <w:top w:val="none" w:sz="0" w:space="0" w:color="auto"/>
            <w:left w:val="none" w:sz="0" w:space="0" w:color="auto"/>
            <w:bottom w:val="none" w:sz="0" w:space="0" w:color="auto"/>
            <w:right w:val="none" w:sz="0" w:space="0" w:color="auto"/>
          </w:divBdr>
        </w:div>
      </w:divsChild>
    </w:div>
    <w:div w:id="736126093">
      <w:bodyDiv w:val="1"/>
      <w:marLeft w:val="0"/>
      <w:marRight w:val="0"/>
      <w:marTop w:val="0"/>
      <w:marBottom w:val="0"/>
      <w:divBdr>
        <w:top w:val="none" w:sz="0" w:space="0" w:color="auto"/>
        <w:left w:val="none" w:sz="0" w:space="0" w:color="auto"/>
        <w:bottom w:val="none" w:sz="0" w:space="0" w:color="auto"/>
        <w:right w:val="none" w:sz="0" w:space="0" w:color="auto"/>
      </w:divBdr>
    </w:div>
    <w:div w:id="1052653276">
      <w:bodyDiv w:val="1"/>
      <w:marLeft w:val="0"/>
      <w:marRight w:val="0"/>
      <w:marTop w:val="0"/>
      <w:marBottom w:val="0"/>
      <w:divBdr>
        <w:top w:val="none" w:sz="0" w:space="0" w:color="auto"/>
        <w:left w:val="none" w:sz="0" w:space="0" w:color="auto"/>
        <w:bottom w:val="none" w:sz="0" w:space="0" w:color="auto"/>
        <w:right w:val="none" w:sz="0" w:space="0" w:color="auto"/>
      </w:divBdr>
    </w:div>
    <w:div w:id="1092050105">
      <w:bodyDiv w:val="1"/>
      <w:marLeft w:val="0"/>
      <w:marRight w:val="0"/>
      <w:marTop w:val="0"/>
      <w:marBottom w:val="0"/>
      <w:divBdr>
        <w:top w:val="none" w:sz="0" w:space="0" w:color="auto"/>
        <w:left w:val="none" w:sz="0" w:space="0" w:color="auto"/>
        <w:bottom w:val="none" w:sz="0" w:space="0" w:color="auto"/>
        <w:right w:val="none" w:sz="0" w:space="0" w:color="auto"/>
      </w:divBdr>
    </w:div>
    <w:div w:id="1192839977">
      <w:bodyDiv w:val="1"/>
      <w:marLeft w:val="0"/>
      <w:marRight w:val="0"/>
      <w:marTop w:val="0"/>
      <w:marBottom w:val="0"/>
      <w:divBdr>
        <w:top w:val="none" w:sz="0" w:space="0" w:color="auto"/>
        <w:left w:val="none" w:sz="0" w:space="0" w:color="auto"/>
        <w:bottom w:val="none" w:sz="0" w:space="0" w:color="auto"/>
        <w:right w:val="none" w:sz="0" w:space="0" w:color="auto"/>
      </w:divBdr>
    </w:div>
    <w:div w:id="1346129827">
      <w:bodyDiv w:val="1"/>
      <w:marLeft w:val="0"/>
      <w:marRight w:val="0"/>
      <w:marTop w:val="0"/>
      <w:marBottom w:val="0"/>
      <w:divBdr>
        <w:top w:val="none" w:sz="0" w:space="0" w:color="auto"/>
        <w:left w:val="none" w:sz="0" w:space="0" w:color="auto"/>
        <w:bottom w:val="none" w:sz="0" w:space="0" w:color="auto"/>
        <w:right w:val="none" w:sz="0" w:space="0" w:color="auto"/>
      </w:divBdr>
    </w:div>
    <w:div w:id="1401950571">
      <w:bodyDiv w:val="1"/>
      <w:marLeft w:val="0"/>
      <w:marRight w:val="0"/>
      <w:marTop w:val="0"/>
      <w:marBottom w:val="0"/>
      <w:divBdr>
        <w:top w:val="none" w:sz="0" w:space="0" w:color="auto"/>
        <w:left w:val="none" w:sz="0" w:space="0" w:color="auto"/>
        <w:bottom w:val="none" w:sz="0" w:space="0" w:color="auto"/>
        <w:right w:val="none" w:sz="0" w:space="0" w:color="auto"/>
      </w:divBdr>
      <w:divsChild>
        <w:div w:id="1941643382">
          <w:marLeft w:val="0"/>
          <w:marRight w:val="0"/>
          <w:marTop w:val="0"/>
          <w:marBottom w:val="0"/>
          <w:divBdr>
            <w:top w:val="none" w:sz="0" w:space="0" w:color="auto"/>
            <w:left w:val="none" w:sz="0" w:space="0" w:color="auto"/>
            <w:bottom w:val="none" w:sz="0" w:space="0" w:color="auto"/>
            <w:right w:val="none" w:sz="0" w:space="0" w:color="auto"/>
          </w:divBdr>
        </w:div>
        <w:div w:id="1501119332">
          <w:marLeft w:val="0"/>
          <w:marRight w:val="0"/>
          <w:marTop w:val="0"/>
          <w:marBottom w:val="0"/>
          <w:divBdr>
            <w:top w:val="none" w:sz="0" w:space="0" w:color="auto"/>
            <w:left w:val="none" w:sz="0" w:space="0" w:color="auto"/>
            <w:bottom w:val="none" w:sz="0" w:space="0" w:color="auto"/>
            <w:right w:val="none" w:sz="0" w:space="0" w:color="auto"/>
          </w:divBdr>
        </w:div>
        <w:div w:id="2065056132">
          <w:marLeft w:val="0"/>
          <w:marRight w:val="0"/>
          <w:marTop w:val="0"/>
          <w:marBottom w:val="0"/>
          <w:divBdr>
            <w:top w:val="none" w:sz="0" w:space="0" w:color="auto"/>
            <w:left w:val="none" w:sz="0" w:space="0" w:color="auto"/>
            <w:bottom w:val="none" w:sz="0" w:space="0" w:color="auto"/>
            <w:right w:val="none" w:sz="0" w:space="0" w:color="auto"/>
          </w:divBdr>
        </w:div>
        <w:div w:id="1314793595">
          <w:marLeft w:val="0"/>
          <w:marRight w:val="0"/>
          <w:marTop w:val="0"/>
          <w:marBottom w:val="0"/>
          <w:divBdr>
            <w:top w:val="none" w:sz="0" w:space="0" w:color="auto"/>
            <w:left w:val="none" w:sz="0" w:space="0" w:color="auto"/>
            <w:bottom w:val="none" w:sz="0" w:space="0" w:color="auto"/>
            <w:right w:val="none" w:sz="0" w:space="0" w:color="auto"/>
          </w:divBdr>
        </w:div>
        <w:div w:id="2026247889">
          <w:marLeft w:val="0"/>
          <w:marRight w:val="0"/>
          <w:marTop w:val="0"/>
          <w:marBottom w:val="0"/>
          <w:divBdr>
            <w:top w:val="none" w:sz="0" w:space="0" w:color="auto"/>
            <w:left w:val="none" w:sz="0" w:space="0" w:color="auto"/>
            <w:bottom w:val="none" w:sz="0" w:space="0" w:color="auto"/>
            <w:right w:val="none" w:sz="0" w:space="0" w:color="auto"/>
          </w:divBdr>
        </w:div>
      </w:divsChild>
    </w:div>
    <w:div w:id="179641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9</Pages>
  <Words>2136</Words>
  <Characters>12177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Watkins James</dc:creator>
  <cp:lastModifiedBy>Watkins James</cp:lastModifiedBy>
  <cp:revision>24</cp:revision>
  <cp:lastPrinted>2018-02-21T11:59:00Z</cp:lastPrinted>
  <dcterms:created xsi:type="dcterms:W3CDTF">2018-04-24T18:47:00Z</dcterms:created>
  <dcterms:modified xsi:type="dcterms:W3CDTF">2018-04-25T21:15:00Z</dcterms:modified>
</cp:coreProperties>
</file>