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5549900</wp:posOffset>
            </wp:positionH>
            <wp:positionV relativeFrom="paragraph">
              <wp:posOffset>-562905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D02564">
        <w:rPr>
          <w:rFonts w:cs="Arial"/>
          <w:b/>
          <w:iCs/>
          <w:sz w:val="22"/>
          <w:szCs w:val="22"/>
          <w:u w:val="single"/>
        </w:rPr>
        <w:t>July</w:t>
      </w:r>
      <w:r w:rsidR="00A3484D">
        <w:rPr>
          <w:rFonts w:cs="Arial"/>
          <w:b/>
          <w:iCs/>
          <w:sz w:val="22"/>
          <w:szCs w:val="22"/>
          <w:u w:val="single"/>
        </w:rPr>
        <w:t xml:space="preserve"> 2018</w:t>
      </w:r>
    </w:p>
    <w:p w:rsidR="00DA09E0" w:rsidRDefault="00DA09E0" w:rsidP="00DA09E0">
      <w:pPr>
        <w:widowControl w:val="0"/>
        <w:autoSpaceDE w:val="0"/>
        <w:autoSpaceDN w:val="0"/>
        <w:adjustRightInd w:val="0"/>
        <w:jc w:val="center"/>
        <w:rPr>
          <w:rFonts w:cs="Arial"/>
          <w:b/>
          <w:iCs/>
          <w:sz w:val="22"/>
          <w:szCs w:val="22"/>
        </w:rPr>
      </w:pPr>
    </w:p>
    <w:p w:rsidR="00310FDF" w:rsidRPr="00310FDF" w:rsidRDefault="00310FDF" w:rsidP="00DA09E0">
      <w:pPr>
        <w:widowControl w:val="0"/>
        <w:autoSpaceDE w:val="0"/>
        <w:autoSpaceDN w:val="0"/>
        <w:adjustRightInd w:val="0"/>
        <w:jc w:val="center"/>
        <w:rPr>
          <w:rFonts w:cs="Arial"/>
          <w:b/>
          <w:iCs/>
          <w:sz w:val="22"/>
          <w:szCs w:val="22"/>
        </w:rPr>
      </w:pPr>
    </w:p>
    <w:p w:rsidR="008767FE" w:rsidRPr="008767FE" w:rsidRDefault="00983E4C"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eastAsia="Times New Roman" w:cs="Helvetica"/>
          <w:b/>
          <w:color w:val="333333"/>
          <w:sz w:val="22"/>
          <w:szCs w:val="22"/>
          <w:lang w:val="en-GB" w:eastAsia="en-GB"/>
        </w:rPr>
        <w:t>S</w:t>
      </w:r>
      <w:r w:rsidR="00543220">
        <w:rPr>
          <w:rFonts w:eastAsia="Times New Roman" w:cs="Helvetica"/>
          <w:b/>
          <w:color w:val="333333"/>
          <w:sz w:val="22"/>
          <w:szCs w:val="22"/>
          <w:lang w:val="en-GB" w:eastAsia="en-GB"/>
        </w:rPr>
        <w:t>trategy</w:t>
      </w:r>
      <w:r w:rsidR="005E30E0" w:rsidRPr="00E143FD">
        <w:rPr>
          <w:rFonts w:eastAsia="Times New Roman" w:cs="Helvetica"/>
          <w:b/>
          <w:color w:val="333333"/>
          <w:sz w:val="22"/>
          <w:szCs w:val="22"/>
          <w:lang w:val="en-GB" w:eastAsia="en-GB"/>
        </w:rPr>
        <w:t xml:space="preserve"> </w:t>
      </w:r>
      <w:r w:rsidR="004C2C6F">
        <w:rPr>
          <w:rFonts w:eastAsia="Times New Roman" w:cs="Helvetica"/>
          <w:b/>
          <w:color w:val="333333"/>
          <w:sz w:val="22"/>
          <w:szCs w:val="22"/>
          <w:lang w:val="en-GB" w:eastAsia="en-GB"/>
        </w:rPr>
        <w:t>and</w:t>
      </w:r>
      <w:r>
        <w:rPr>
          <w:rFonts w:eastAsia="Times New Roman" w:cs="Helvetica"/>
          <w:b/>
          <w:color w:val="333333"/>
          <w:sz w:val="22"/>
          <w:szCs w:val="22"/>
          <w:lang w:val="en-GB" w:eastAsia="en-GB"/>
        </w:rPr>
        <w:t xml:space="preserve"> roles and responsibilities</w:t>
      </w:r>
      <w:r w:rsidR="00202DC4">
        <w:rPr>
          <w:rFonts w:eastAsia="Times New Roman" w:cs="Helvetica"/>
          <w:b/>
          <w:color w:val="333333"/>
          <w:sz w:val="22"/>
          <w:szCs w:val="22"/>
          <w:lang w:val="en-GB" w:eastAsia="en-GB"/>
        </w:rPr>
        <w:t xml:space="preserve"> - update</w:t>
      </w:r>
    </w:p>
    <w:p w:rsidR="004948A0" w:rsidRDefault="004948A0" w:rsidP="00AC427F">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tbl>
      <w:tblPr>
        <w:tblStyle w:val="TableGrid"/>
        <w:tblW w:w="9796" w:type="dxa"/>
        <w:tblInd w:w="-176" w:type="dxa"/>
        <w:tblLook w:val="04A0" w:firstRow="1" w:lastRow="0" w:firstColumn="1" w:lastColumn="0" w:noHBand="0" w:noVBand="1"/>
      </w:tblPr>
      <w:tblGrid>
        <w:gridCol w:w="4962"/>
        <w:gridCol w:w="4834"/>
      </w:tblGrid>
      <w:tr w:rsidR="00983E4C" w:rsidRPr="00983E4C" w:rsidTr="00614C24">
        <w:tc>
          <w:tcPr>
            <w:tcW w:w="4962" w:type="dxa"/>
          </w:tcPr>
          <w:p w:rsidR="00983E4C" w:rsidRPr="00983E4C" w:rsidRDefault="00983E4C" w:rsidP="00E45265">
            <w:pPr>
              <w:jc w:val="both"/>
              <w:rPr>
                <w:rFonts w:cs="Calibri"/>
                <w:b/>
                <w:sz w:val="22"/>
                <w:szCs w:val="22"/>
              </w:rPr>
            </w:pPr>
            <w:r w:rsidRPr="00983E4C">
              <w:rPr>
                <w:rFonts w:cs="Calibri"/>
                <w:b/>
                <w:sz w:val="22"/>
                <w:szCs w:val="22"/>
              </w:rPr>
              <w:t>Action</w:t>
            </w:r>
          </w:p>
        </w:tc>
        <w:tc>
          <w:tcPr>
            <w:tcW w:w="4834" w:type="dxa"/>
          </w:tcPr>
          <w:p w:rsidR="00983E4C" w:rsidRPr="00983E4C" w:rsidRDefault="00983E4C" w:rsidP="00E45265">
            <w:pPr>
              <w:jc w:val="both"/>
              <w:rPr>
                <w:rFonts w:cs="Calibri"/>
                <w:b/>
                <w:sz w:val="22"/>
                <w:szCs w:val="22"/>
              </w:rPr>
            </w:pPr>
            <w:r w:rsidRPr="00983E4C">
              <w:rPr>
                <w:rFonts w:cs="Calibri"/>
                <w:b/>
                <w:sz w:val="22"/>
                <w:szCs w:val="22"/>
              </w:rPr>
              <w:t>Update</w:t>
            </w:r>
          </w:p>
        </w:tc>
      </w:tr>
      <w:tr w:rsidR="00983E4C" w:rsidRPr="00983E4C" w:rsidTr="00614C24">
        <w:tc>
          <w:tcPr>
            <w:tcW w:w="4962" w:type="dxa"/>
          </w:tcPr>
          <w:p w:rsidR="00983E4C" w:rsidRPr="00983E4C" w:rsidRDefault="00614C24" w:rsidP="00E45265">
            <w:pPr>
              <w:jc w:val="both"/>
              <w:rPr>
                <w:rFonts w:asciiTheme="minorHAnsi" w:hAnsiTheme="minorHAnsi" w:cs="Calibri"/>
                <w:b/>
                <w:sz w:val="22"/>
                <w:szCs w:val="22"/>
              </w:rPr>
            </w:pPr>
            <w:r>
              <w:rPr>
                <w:rFonts w:asciiTheme="minorHAnsi" w:hAnsiTheme="minorHAnsi" w:cs="Calibri"/>
                <w:sz w:val="22"/>
                <w:szCs w:val="22"/>
              </w:rPr>
              <w:t>CQC registration</w:t>
            </w:r>
          </w:p>
        </w:tc>
        <w:tc>
          <w:tcPr>
            <w:tcW w:w="4834" w:type="dxa"/>
          </w:tcPr>
          <w:p w:rsidR="00983E4C" w:rsidRPr="00614C24" w:rsidRDefault="005A60FD" w:rsidP="005A60FD">
            <w:pPr>
              <w:pStyle w:val="ListParagraph"/>
              <w:numPr>
                <w:ilvl w:val="0"/>
                <w:numId w:val="17"/>
              </w:numPr>
              <w:jc w:val="both"/>
              <w:rPr>
                <w:rFonts w:asciiTheme="minorHAnsi" w:hAnsiTheme="minorHAnsi" w:cs="Calibri"/>
                <w:sz w:val="22"/>
                <w:szCs w:val="22"/>
              </w:rPr>
            </w:pPr>
            <w:r>
              <w:rPr>
                <w:rFonts w:asciiTheme="minorHAnsi" w:hAnsiTheme="minorHAnsi" w:cs="Calibri"/>
                <w:sz w:val="22"/>
                <w:szCs w:val="22"/>
              </w:rPr>
              <w:t xml:space="preserve">JW to make contact with the </w:t>
            </w:r>
            <w:r w:rsidR="00202DC4">
              <w:rPr>
                <w:rFonts w:asciiTheme="minorHAnsi" w:hAnsiTheme="minorHAnsi" w:cs="Calibri"/>
                <w:sz w:val="22"/>
                <w:szCs w:val="22"/>
              </w:rPr>
              <w:t xml:space="preserve">CQC contact </w:t>
            </w:r>
            <w:r>
              <w:rPr>
                <w:rFonts w:asciiTheme="minorHAnsi" w:hAnsiTheme="minorHAnsi" w:cs="Calibri"/>
                <w:sz w:val="22"/>
                <w:szCs w:val="22"/>
              </w:rPr>
              <w:t>advised by Helen Rose.</w:t>
            </w:r>
          </w:p>
        </w:tc>
      </w:tr>
      <w:tr w:rsidR="00983E4C" w:rsidRPr="00983E4C" w:rsidTr="00614C24">
        <w:tc>
          <w:tcPr>
            <w:tcW w:w="4962" w:type="dxa"/>
          </w:tcPr>
          <w:p w:rsidR="00983E4C" w:rsidRPr="00983E4C" w:rsidRDefault="00614C24" w:rsidP="00E45265">
            <w:pPr>
              <w:jc w:val="both"/>
              <w:rPr>
                <w:rFonts w:asciiTheme="minorHAnsi" w:hAnsiTheme="minorHAnsi" w:cs="Calibri"/>
                <w:b/>
                <w:sz w:val="22"/>
                <w:szCs w:val="22"/>
              </w:rPr>
            </w:pPr>
            <w:r>
              <w:rPr>
                <w:rFonts w:asciiTheme="minorHAnsi" w:hAnsiTheme="minorHAnsi" w:cs="Calibri"/>
                <w:sz w:val="22"/>
                <w:szCs w:val="22"/>
              </w:rPr>
              <w:t>I</w:t>
            </w:r>
            <w:r w:rsidR="00983E4C" w:rsidRPr="00983E4C">
              <w:rPr>
                <w:rFonts w:asciiTheme="minorHAnsi" w:hAnsiTheme="minorHAnsi" w:cs="Calibri"/>
                <w:sz w:val="22"/>
                <w:szCs w:val="22"/>
              </w:rPr>
              <w:t>ndependent provider status to enable it to employ staff with NHS pensions.</w:t>
            </w:r>
          </w:p>
        </w:tc>
        <w:tc>
          <w:tcPr>
            <w:tcW w:w="4834" w:type="dxa"/>
          </w:tcPr>
          <w:p w:rsidR="00202DC4" w:rsidRDefault="005A60FD" w:rsidP="005A60FD">
            <w:pPr>
              <w:pStyle w:val="ListParagraph"/>
              <w:numPr>
                <w:ilvl w:val="0"/>
                <w:numId w:val="17"/>
              </w:numPr>
              <w:jc w:val="both"/>
              <w:rPr>
                <w:rFonts w:asciiTheme="minorHAnsi" w:hAnsiTheme="minorHAnsi" w:cs="Calibri"/>
                <w:sz w:val="22"/>
                <w:szCs w:val="22"/>
              </w:rPr>
            </w:pPr>
            <w:r>
              <w:rPr>
                <w:rFonts w:asciiTheme="minorHAnsi" w:hAnsiTheme="minorHAnsi" w:cs="Calibri"/>
                <w:sz w:val="22"/>
                <w:szCs w:val="22"/>
              </w:rPr>
              <w:t xml:space="preserve">The main focus is to </w:t>
            </w:r>
            <w:r w:rsidR="00202DC4">
              <w:rPr>
                <w:rFonts w:asciiTheme="minorHAnsi" w:hAnsiTheme="minorHAnsi" w:cs="Calibri"/>
                <w:sz w:val="22"/>
                <w:szCs w:val="22"/>
              </w:rPr>
              <w:t xml:space="preserve">work with LMC Law to establish a model where a lead practice employs with appropriate indemnities / contract </w:t>
            </w:r>
            <w:r w:rsidR="00800DEE">
              <w:rPr>
                <w:rFonts w:asciiTheme="minorHAnsi" w:hAnsiTheme="minorHAnsi" w:cs="Calibri"/>
                <w:sz w:val="22"/>
                <w:szCs w:val="22"/>
              </w:rPr>
              <w:t>in place with participating practices</w:t>
            </w:r>
            <w:r>
              <w:rPr>
                <w:rFonts w:asciiTheme="minorHAnsi" w:hAnsiTheme="minorHAnsi" w:cs="Calibri"/>
                <w:sz w:val="22"/>
                <w:szCs w:val="22"/>
              </w:rPr>
              <w:t>.</w:t>
            </w:r>
          </w:p>
          <w:p w:rsidR="005A60FD" w:rsidRPr="00614C24" w:rsidRDefault="005A60FD" w:rsidP="005A60FD">
            <w:pPr>
              <w:pStyle w:val="ListParagraph"/>
              <w:numPr>
                <w:ilvl w:val="0"/>
                <w:numId w:val="17"/>
              </w:numPr>
              <w:jc w:val="both"/>
              <w:rPr>
                <w:rFonts w:asciiTheme="minorHAnsi" w:hAnsiTheme="minorHAnsi" w:cs="Calibri"/>
                <w:sz w:val="22"/>
                <w:szCs w:val="22"/>
              </w:rPr>
            </w:pPr>
            <w:r>
              <w:rPr>
                <w:rFonts w:asciiTheme="minorHAnsi" w:hAnsiTheme="minorHAnsi" w:cs="Calibri"/>
                <w:sz w:val="22"/>
                <w:szCs w:val="22"/>
              </w:rPr>
              <w:t>We will also ‘double check’ that the Federation cannot provide NHS pensions without an NHS contract.</w:t>
            </w:r>
          </w:p>
        </w:tc>
      </w:tr>
      <w:tr w:rsidR="00983E4C" w:rsidRPr="00983E4C" w:rsidTr="00614C24">
        <w:tc>
          <w:tcPr>
            <w:tcW w:w="4962" w:type="dxa"/>
          </w:tcPr>
          <w:p w:rsidR="00983E4C" w:rsidRPr="00983E4C" w:rsidRDefault="00202DC4" w:rsidP="00202DC4">
            <w:pPr>
              <w:jc w:val="both"/>
              <w:rPr>
                <w:rFonts w:asciiTheme="minorHAnsi" w:hAnsiTheme="minorHAnsi" w:cs="Calibri"/>
                <w:b/>
                <w:sz w:val="22"/>
                <w:szCs w:val="22"/>
              </w:rPr>
            </w:pPr>
            <w:r>
              <w:rPr>
                <w:rFonts w:asciiTheme="minorHAnsi" w:hAnsiTheme="minorHAnsi" w:cs="Calibri"/>
                <w:sz w:val="22"/>
                <w:szCs w:val="22"/>
              </w:rPr>
              <w:t xml:space="preserve">Pricing for </w:t>
            </w:r>
            <w:r w:rsidR="00983E4C" w:rsidRPr="00983E4C">
              <w:rPr>
                <w:rFonts w:asciiTheme="minorHAnsi" w:hAnsiTheme="minorHAnsi" w:cs="Calibri"/>
                <w:sz w:val="22"/>
                <w:szCs w:val="22"/>
              </w:rPr>
              <w:t xml:space="preserve">project </w:t>
            </w:r>
            <w:r>
              <w:rPr>
                <w:rFonts w:asciiTheme="minorHAnsi" w:hAnsiTheme="minorHAnsi" w:cs="Calibri"/>
                <w:sz w:val="22"/>
                <w:szCs w:val="22"/>
              </w:rPr>
              <w:t xml:space="preserve">/ consultancy </w:t>
            </w:r>
            <w:r w:rsidR="00983E4C" w:rsidRPr="00983E4C">
              <w:rPr>
                <w:rFonts w:asciiTheme="minorHAnsi" w:hAnsiTheme="minorHAnsi" w:cs="Calibri"/>
                <w:sz w:val="22"/>
                <w:szCs w:val="22"/>
              </w:rPr>
              <w:t xml:space="preserve">support </w:t>
            </w:r>
          </w:p>
        </w:tc>
        <w:tc>
          <w:tcPr>
            <w:tcW w:w="4834" w:type="dxa"/>
          </w:tcPr>
          <w:p w:rsidR="00983E4C" w:rsidRPr="00614C24" w:rsidRDefault="005A60FD" w:rsidP="00CD10D0">
            <w:pPr>
              <w:pStyle w:val="ListParagraph"/>
              <w:numPr>
                <w:ilvl w:val="0"/>
                <w:numId w:val="16"/>
              </w:numPr>
              <w:jc w:val="both"/>
              <w:rPr>
                <w:rFonts w:asciiTheme="minorHAnsi" w:hAnsiTheme="minorHAnsi" w:cs="Calibri"/>
                <w:sz w:val="22"/>
                <w:szCs w:val="22"/>
              </w:rPr>
            </w:pPr>
            <w:r>
              <w:rPr>
                <w:rFonts w:asciiTheme="minorHAnsi" w:hAnsiTheme="minorHAnsi" w:cs="Calibri"/>
                <w:sz w:val="22"/>
                <w:szCs w:val="22"/>
              </w:rPr>
              <w:t>Update</w:t>
            </w:r>
            <w:r w:rsidR="00202DC4">
              <w:rPr>
                <w:rFonts w:asciiTheme="minorHAnsi" w:hAnsiTheme="minorHAnsi" w:cs="Calibri"/>
                <w:sz w:val="22"/>
                <w:szCs w:val="22"/>
              </w:rPr>
              <w:t xml:space="preserve"> to be tabled</w:t>
            </w:r>
            <w:r w:rsidR="00CD47C4">
              <w:rPr>
                <w:rFonts w:asciiTheme="minorHAnsi" w:hAnsiTheme="minorHAnsi" w:cs="Calibri"/>
                <w:sz w:val="22"/>
                <w:szCs w:val="22"/>
              </w:rPr>
              <w:t xml:space="preserve"> at the meeting</w:t>
            </w:r>
          </w:p>
        </w:tc>
      </w:tr>
      <w:tr w:rsidR="00983E4C" w:rsidRPr="00983E4C" w:rsidTr="00614C24">
        <w:tc>
          <w:tcPr>
            <w:tcW w:w="4962" w:type="dxa"/>
          </w:tcPr>
          <w:p w:rsidR="00983E4C" w:rsidRPr="00983E4C" w:rsidRDefault="00983E4C" w:rsidP="00E45265">
            <w:pPr>
              <w:jc w:val="both"/>
              <w:rPr>
                <w:rFonts w:asciiTheme="minorHAnsi" w:hAnsiTheme="minorHAnsi" w:cs="Calibri"/>
                <w:b/>
                <w:sz w:val="22"/>
                <w:szCs w:val="22"/>
              </w:rPr>
            </w:pPr>
            <w:r w:rsidRPr="00983E4C">
              <w:rPr>
                <w:rFonts w:asciiTheme="minorHAnsi" w:hAnsiTheme="minorHAnsi" w:cs="Calibri"/>
                <w:sz w:val="22"/>
                <w:szCs w:val="22"/>
              </w:rPr>
              <w:t>Consider working with local G</w:t>
            </w:r>
            <w:r w:rsidR="00614C24">
              <w:rPr>
                <w:rFonts w:asciiTheme="minorHAnsi" w:hAnsiTheme="minorHAnsi" w:cs="Calibri"/>
                <w:sz w:val="22"/>
                <w:szCs w:val="22"/>
              </w:rPr>
              <w:t>P Federations, where sensible.</w:t>
            </w:r>
          </w:p>
        </w:tc>
        <w:tc>
          <w:tcPr>
            <w:tcW w:w="4834" w:type="dxa"/>
          </w:tcPr>
          <w:p w:rsidR="00983E4C" w:rsidRPr="00614C24" w:rsidRDefault="005A60FD" w:rsidP="00CD10D0">
            <w:pPr>
              <w:pStyle w:val="ListParagraph"/>
              <w:numPr>
                <w:ilvl w:val="0"/>
                <w:numId w:val="18"/>
              </w:numPr>
              <w:jc w:val="both"/>
              <w:rPr>
                <w:rFonts w:asciiTheme="minorHAnsi" w:hAnsiTheme="minorHAnsi" w:cs="Calibri"/>
                <w:sz w:val="22"/>
                <w:szCs w:val="22"/>
              </w:rPr>
            </w:pPr>
            <w:r>
              <w:rPr>
                <w:rFonts w:asciiTheme="minorHAnsi" w:hAnsiTheme="minorHAnsi" w:cs="Calibri"/>
                <w:sz w:val="22"/>
                <w:szCs w:val="22"/>
              </w:rPr>
              <w:t>Meeting held with 4-Fed.  See update below.</w:t>
            </w:r>
          </w:p>
        </w:tc>
      </w:tr>
      <w:tr w:rsidR="004948A0" w:rsidRPr="004948A0" w:rsidTr="00614C24">
        <w:tc>
          <w:tcPr>
            <w:tcW w:w="4962" w:type="dxa"/>
          </w:tcPr>
          <w:p w:rsidR="004948A0" w:rsidRDefault="004948A0" w:rsidP="00E45265">
            <w:pPr>
              <w:jc w:val="both"/>
              <w:rPr>
                <w:rFonts w:asciiTheme="minorHAnsi" w:hAnsiTheme="minorHAnsi" w:cs="Calibri"/>
                <w:sz w:val="22"/>
                <w:szCs w:val="22"/>
              </w:rPr>
            </w:pPr>
            <w:r w:rsidRPr="004948A0">
              <w:rPr>
                <w:rFonts w:asciiTheme="minorHAnsi" w:hAnsiTheme="minorHAnsi" w:cs="Calibri"/>
                <w:sz w:val="22"/>
                <w:szCs w:val="22"/>
              </w:rPr>
              <w:t>Business and budget plan from April 2019</w:t>
            </w:r>
            <w:r w:rsidR="008272FB">
              <w:rPr>
                <w:rFonts w:asciiTheme="minorHAnsi" w:hAnsiTheme="minorHAnsi" w:cs="Calibri"/>
                <w:sz w:val="22"/>
                <w:szCs w:val="22"/>
              </w:rPr>
              <w:t>;</w:t>
            </w:r>
          </w:p>
          <w:p w:rsidR="008272FB" w:rsidRDefault="008272FB" w:rsidP="00E45265">
            <w:pPr>
              <w:jc w:val="both"/>
              <w:rPr>
                <w:rFonts w:asciiTheme="minorHAnsi" w:hAnsiTheme="minorHAnsi" w:cs="Calibri"/>
                <w:sz w:val="22"/>
                <w:szCs w:val="22"/>
              </w:rPr>
            </w:pPr>
            <w:r>
              <w:rPr>
                <w:rFonts w:asciiTheme="minorHAnsi" w:hAnsiTheme="minorHAnsi" w:cs="Calibri"/>
                <w:sz w:val="22"/>
                <w:szCs w:val="22"/>
              </w:rPr>
              <w:t>3 potential income streams;</w:t>
            </w:r>
          </w:p>
          <w:p w:rsidR="008272FB" w:rsidRPr="008272FB" w:rsidRDefault="008272FB" w:rsidP="00CD10D0">
            <w:pPr>
              <w:pStyle w:val="ListParagraph"/>
              <w:numPr>
                <w:ilvl w:val="0"/>
                <w:numId w:val="26"/>
              </w:numPr>
              <w:jc w:val="both"/>
              <w:rPr>
                <w:rFonts w:asciiTheme="minorHAnsi" w:hAnsiTheme="minorHAnsi" w:cs="Calibri"/>
                <w:sz w:val="22"/>
                <w:szCs w:val="22"/>
              </w:rPr>
            </w:pPr>
            <w:r w:rsidRPr="008272FB">
              <w:rPr>
                <w:rFonts w:asciiTheme="minorHAnsi" w:hAnsiTheme="minorHAnsi" w:cs="Calibri"/>
                <w:sz w:val="22"/>
                <w:szCs w:val="22"/>
              </w:rPr>
              <w:t>Service contracts</w:t>
            </w:r>
          </w:p>
          <w:p w:rsidR="008272FB" w:rsidRPr="008272FB" w:rsidRDefault="008272FB" w:rsidP="00CD10D0">
            <w:pPr>
              <w:pStyle w:val="ListParagraph"/>
              <w:numPr>
                <w:ilvl w:val="0"/>
                <w:numId w:val="26"/>
              </w:numPr>
              <w:jc w:val="both"/>
              <w:rPr>
                <w:rFonts w:asciiTheme="minorHAnsi" w:hAnsiTheme="minorHAnsi" w:cs="Calibri"/>
                <w:sz w:val="22"/>
                <w:szCs w:val="22"/>
              </w:rPr>
            </w:pPr>
            <w:r w:rsidRPr="008272FB">
              <w:rPr>
                <w:rFonts w:asciiTheme="minorHAnsi" w:hAnsiTheme="minorHAnsi" w:cs="Calibri"/>
                <w:sz w:val="22"/>
                <w:szCs w:val="22"/>
              </w:rPr>
              <w:t>Fees for service</w:t>
            </w:r>
          </w:p>
          <w:p w:rsidR="008272FB" w:rsidRPr="008272FB" w:rsidRDefault="008272FB" w:rsidP="00CD10D0">
            <w:pPr>
              <w:pStyle w:val="ListParagraph"/>
              <w:numPr>
                <w:ilvl w:val="0"/>
                <w:numId w:val="26"/>
              </w:numPr>
              <w:jc w:val="both"/>
              <w:rPr>
                <w:rFonts w:cs="Calibri"/>
                <w:sz w:val="22"/>
                <w:szCs w:val="22"/>
              </w:rPr>
            </w:pPr>
            <w:r w:rsidRPr="008272FB">
              <w:rPr>
                <w:rFonts w:asciiTheme="minorHAnsi" w:hAnsiTheme="minorHAnsi" w:cs="Calibri"/>
                <w:sz w:val="22"/>
                <w:szCs w:val="22"/>
              </w:rPr>
              <w:t>Practice contribution</w:t>
            </w:r>
          </w:p>
        </w:tc>
        <w:tc>
          <w:tcPr>
            <w:tcW w:w="4834" w:type="dxa"/>
          </w:tcPr>
          <w:p w:rsidR="005A60FD" w:rsidRDefault="00CD47C4" w:rsidP="00CD10D0">
            <w:pPr>
              <w:pStyle w:val="ListParagraph"/>
              <w:numPr>
                <w:ilvl w:val="0"/>
                <w:numId w:val="18"/>
              </w:numPr>
              <w:jc w:val="both"/>
              <w:rPr>
                <w:rFonts w:asciiTheme="minorHAnsi" w:hAnsiTheme="minorHAnsi" w:cs="Calibri"/>
                <w:sz w:val="22"/>
                <w:szCs w:val="22"/>
              </w:rPr>
            </w:pPr>
            <w:r>
              <w:rPr>
                <w:rFonts w:asciiTheme="minorHAnsi" w:hAnsiTheme="minorHAnsi" w:cs="Calibri"/>
                <w:sz w:val="22"/>
                <w:szCs w:val="22"/>
              </w:rPr>
              <w:t xml:space="preserve">Draft to be developed </w:t>
            </w:r>
            <w:r w:rsidR="005A60FD">
              <w:rPr>
                <w:rFonts w:asciiTheme="minorHAnsi" w:hAnsiTheme="minorHAnsi" w:cs="Calibri"/>
                <w:sz w:val="22"/>
                <w:szCs w:val="22"/>
              </w:rPr>
              <w:t>for the next Board meeting</w:t>
            </w:r>
            <w:r w:rsidR="001252BF">
              <w:rPr>
                <w:rFonts w:asciiTheme="minorHAnsi" w:hAnsiTheme="minorHAnsi" w:cs="Calibri"/>
                <w:sz w:val="22"/>
                <w:szCs w:val="22"/>
              </w:rPr>
              <w:t xml:space="preserve"> for discussion.</w:t>
            </w:r>
          </w:p>
          <w:p w:rsidR="008272FB" w:rsidRPr="004948A0" w:rsidRDefault="008272FB" w:rsidP="005A60FD">
            <w:pPr>
              <w:pStyle w:val="ListParagraph"/>
              <w:ind w:left="360"/>
              <w:jc w:val="both"/>
              <w:rPr>
                <w:rFonts w:asciiTheme="minorHAnsi" w:hAnsiTheme="minorHAnsi" w:cs="Calibri"/>
                <w:sz w:val="22"/>
                <w:szCs w:val="22"/>
              </w:rPr>
            </w:pPr>
          </w:p>
        </w:tc>
      </w:tr>
    </w:tbl>
    <w:p w:rsidR="003F3C66" w:rsidRDefault="003F3C66"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8767FE" w:rsidRDefault="008767FE" w:rsidP="00993498">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5A60FD" w:rsidRDefault="005A60FD" w:rsidP="005A60FD">
      <w:pPr>
        <w:pStyle w:val="ListParagraph"/>
        <w:numPr>
          <w:ilvl w:val="0"/>
          <w:numId w:val="18"/>
        </w:numPr>
        <w:spacing w:line="276" w:lineRule="auto"/>
        <w:rPr>
          <w:rFonts w:cs="Arial"/>
          <w:sz w:val="22"/>
          <w:szCs w:val="22"/>
          <w:lang w:val="en-GB"/>
        </w:rPr>
      </w:pPr>
      <w:r w:rsidRPr="005A60FD">
        <w:rPr>
          <w:rFonts w:cs="Arial"/>
          <w:sz w:val="22"/>
          <w:szCs w:val="22"/>
          <w:lang w:val="en-GB"/>
        </w:rPr>
        <w:t xml:space="preserve">All six Localities </w:t>
      </w:r>
      <w:r>
        <w:rPr>
          <w:rFonts w:cs="Arial"/>
          <w:sz w:val="22"/>
          <w:szCs w:val="22"/>
          <w:lang w:val="en-GB"/>
        </w:rPr>
        <w:t>have now had their plans approved.</w:t>
      </w:r>
    </w:p>
    <w:p w:rsidR="005A60FD" w:rsidRDefault="005A60FD" w:rsidP="005A60FD">
      <w:pPr>
        <w:pStyle w:val="ListParagraph"/>
        <w:numPr>
          <w:ilvl w:val="0"/>
          <w:numId w:val="18"/>
        </w:numPr>
        <w:spacing w:line="276" w:lineRule="auto"/>
        <w:rPr>
          <w:rFonts w:cs="Arial"/>
          <w:sz w:val="22"/>
          <w:szCs w:val="22"/>
          <w:lang w:val="en-GB"/>
        </w:rPr>
      </w:pPr>
      <w:r>
        <w:rPr>
          <w:rFonts w:cs="Arial"/>
          <w:sz w:val="22"/>
          <w:szCs w:val="22"/>
          <w:lang w:val="en-GB"/>
        </w:rPr>
        <w:t xml:space="preserve">JW has developed a Project Management structure to assist the Locality teams implement their plans.  We are supporting the implementation of these plans in most cases.  Funding arrangements </w:t>
      </w:r>
      <w:r w:rsidR="00E75F38">
        <w:rPr>
          <w:rFonts w:cs="Arial"/>
          <w:sz w:val="22"/>
          <w:szCs w:val="22"/>
          <w:lang w:val="en-GB"/>
        </w:rPr>
        <w:t>need to be finalised.</w:t>
      </w:r>
    </w:p>
    <w:p w:rsidR="005A60FD" w:rsidRDefault="005A60FD" w:rsidP="005A60FD">
      <w:pPr>
        <w:pStyle w:val="ListParagraph"/>
        <w:numPr>
          <w:ilvl w:val="0"/>
          <w:numId w:val="18"/>
        </w:numPr>
        <w:spacing w:line="276" w:lineRule="auto"/>
        <w:rPr>
          <w:rFonts w:cs="Arial"/>
          <w:sz w:val="22"/>
          <w:szCs w:val="22"/>
          <w:lang w:val="en-GB"/>
        </w:rPr>
      </w:pPr>
      <w:r>
        <w:rPr>
          <w:rFonts w:cs="Arial"/>
          <w:sz w:val="22"/>
          <w:szCs w:val="22"/>
          <w:lang w:val="en-GB"/>
        </w:rPr>
        <w:t>JW has worked with the CCG to develop reporting templates which will be used as the basis to update the CCG on progress and release the funds to the Localities</w:t>
      </w:r>
      <w:r w:rsidR="0075316F">
        <w:rPr>
          <w:rFonts w:cs="Arial"/>
          <w:sz w:val="22"/>
          <w:szCs w:val="22"/>
          <w:lang w:val="en-GB"/>
        </w:rPr>
        <w:t xml:space="preserve"> </w:t>
      </w:r>
      <w:r w:rsidR="0075316F" w:rsidRPr="0075316F">
        <w:rPr>
          <w:rFonts w:cs="Arial"/>
          <w:b/>
          <w:sz w:val="22"/>
          <w:szCs w:val="22"/>
          <w:lang w:val="en-GB"/>
        </w:rPr>
        <w:t>(see appendix 1)</w:t>
      </w:r>
      <w:r>
        <w:rPr>
          <w:rFonts w:cs="Arial"/>
          <w:sz w:val="22"/>
          <w:szCs w:val="22"/>
          <w:lang w:val="en-GB"/>
        </w:rPr>
        <w:t>.</w:t>
      </w:r>
    </w:p>
    <w:p w:rsidR="005A60FD" w:rsidRPr="005A60FD" w:rsidRDefault="005A60FD" w:rsidP="005A60FD">
      <w:pPr>
        <w:pStyle w:val="ListParagraph"/>
        <w:numPr>
          <w:ilvl w:val="0"/>
          <w:numId w:val="18"/>
        </w:numPr>
        <w:spacing w:line="276" w:lineRule="auto"/>
        <w:rPr>
          <w:rFonts w:cs="Arial"/>
          <w:sz w:val="22"/>
          <w:szCs w:val="22"/>
          <w:lang w:val="en-GB"/>
        </w:rPr>
      </w:pPr>
      <w:r>
        <w:rPr>
          <w:rFonts w:cs="Arial"/>
          <w:sz w:val="22"/>
          <w:szCs w:val="22"/>
          <w:lang w:val="en-GB"/>
        </w:rPr>
        <w:t xml:space="preserve">There will be quarterly CCG Transformation Fund panels to review progress and decide on the release of funds.  JW has been asked to attend these panel meetings to </w:t>
      </w:r>
      <w:proofErr w:type="gramStart"/>
      <w:r>
        <w:rPr>
          <w:rFonts w:cs="Arial"/>
          <w:sz w:val="22"/>
          <w:szCs w:val="22"/>
          <w:lang w:val="en-GB"/>
        </w:rPr>
        <w:t>advise</w:t>
      </w:r>
      <w:proofErr w:type="gramEnd"/>
      <w:r>
        <w:rPr>
          <w:rFonts w:cs="Arial"/>
          <w:sz w:val="22"/>
          <w:szCs w:val="22"/>
          <w:lang w:val="en-GB"/>
        </w:rPr>
        <w:t xml:space="preserve"> on progress etc.</w:t>
      </w:r>
    </w:p>
    <w:p w:rsidR="005A60FD" w:rsidRDefault="005A60FD" w:rsidP="00EE7A4B">
      <w:pPr>
        <w:ind w:left="360"/>
        <w:rPr>
          <w:rFonts w:cs="Arial"/>
          <w:sz w:val="22"/>
          <w:szCs w:val="22"/>
        </w:rPr>
      </w:pPr>
    </w:p>
    <w:p w:rsidR="00DA09E0" w:rsidRPr="00725036" w:rsidRDefault="008241E5"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sidRPr="00725036">
        <w:rPr>
          <w:rFonts w:cs="Arial"/>
          <w:b/>
          <w:sz w:val="22"/>
          <w:szCs w:val="22"/>
        </w:rPr>
        <w:t xml:space="preserve">Urgent Care </w:t>
      </w:r>
      <w:r w:rsidR="00BB4809" w:rsidRPr="00725036">
        <w:rPr>
          <w:rFonts w:cs="Arial"/>
          <w:b/>
          <w:sz w:val="22"/>
          <w:szCs w:val="22"/>
        </w:rPr>
        <w:t>/ extended primary care</w:t>
      </w:r>
    </w:p>
    <w:p w:rsidR="00525329" w:rsidRDefault="00525329"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w:t>
      </w:r>
      <w:r w:rsidR="00FA25D9">
        <w:rPr>
          <w:rFonts w:cs="Arial"/>
          <w:sz w:val="22"/>
          <w:szCs w:val="22"/>
        </w:rPr>
        <w:t xml:space="preserve">specification is likely to be released by the end of August 2018 for a </w:t>
      </w:r>
      <w:r w:rsidR="00F74664">
        <w:rPr>
          <w:rFonts w:cs="Arial"/>
          <w:sz w:val="22"/>
          <w:szCs w:val="22"/>
        </w:rPr>
        <w:t>new contract to start in April 2019</w:t>
      </w:r>
      <w:r>
        <w:rPr>
          <w:rFonts w:cs="Arial"/>
          <w:sz w:val="22"/>
          <w:szCs w:val="22"/>
        </w:rPr>
        <w:t>.</w:t>
      </w:r>
    </w:p>
    <w:p w:rsidR="00E16297" w:rsidRDefault="00760792"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sidRPr="00FA25D9">
        <w:rPr>
          <w:rFonts w:cs="Arial"/>
          <w:sz w:val="22"/>
          <w:szCs w:val="22"/>
        </w:rPr>
        <w:t>GC</w:t>
      </w:r>
      <w:r w:rsidR="00FA25D9" w:rsidRPr="00FA25D9">
        <w:rPr>
          <w:rFonts w:cs="Arial"/>
          <w:sz w:val="22"/>
          <w:szCs w:val="22"/>
        </w:rPr>
        <w:t xml:space="preserve">, RB &amp; JW met with DHU (Simon Harris) to discuss the procurement.  A draft MoU is included in the Board papers for the Board to consider.   </w:t>
      </w:r>
      <w:r w:rsidRPr="00FA25D9">
        <w:rPr>
          <w:rFonts w:cs="Arial"/>
          <w:sz w:val="22"/>
          <w:szCs w:val="22"/>
        </w:rPr>
        <w:t xml:space="preserve"> </w:t>
      </w:r>
    </w:p>
    <w:p w:rsidR="00FA25D9" w:rsidRPr="00FA25D9" w:rsidRDefault="00FA25D9" w:rsidP="00FA25D9">
      <w:pPr>
        <w:pStyle w:val="ListParagraph"/>
        <w:widowControl w:val="0"/>
        <w:tabs>
          <w:tab w:val="left" w:pos="220"/>
          <w:tab w:val="left" w:pos="720"/>
        </w:tabs>
        <w:autoSpaceDE w:val="0"/>
        <w:autoSpaceDN w:val="0"/>
        <w:adjustRightInd w:val="0"/>
        <w:spacing w:line="276" w:lineRule="auto"/>
        <w:ind w:left="580"/>
        <w:rPr>
          <w:rFonts w:cs="Arial"/>
          <w:sz w:val="22"/>
          <w:szCs w:val="22"/>
        </w:rPr>
      </w:pPr>
    </w:p>
    <w:p w:rsidR="00933D0E" w:rsidRDefault="00E864A6"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 xml:space="preserve">Collaboration with West &amp; City Federations / </w:t>
      </w:r>
      <w:r w:rsidR="00933D0E">
        <w:rPr>
          <w:rFonts w:cs="Arial"/>
          <w:b/>
          <w:sz w:val="22"/>
          <w:szCs w:val="22"/>
        </w:rPr>
        <w:t>Community services re-design</w:t>
      </w:r>
    </w:p>
    <w:p w:rsidR="00933D0E" w:rsidRDefault="00E864A6" w:rsidP="00E864A6">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sidRPr="00E864A6">
        <w:rPr>
          <w:rFonts w:cs="Arial"/>
          <w:sz w:val="22"/>
          <w:szCs w:val="22"/>
        </w:rPr>
        <w:t>JW/KW</w:t>
      </w:r>
      <w:r>
        <w:rPr>
          <w:rFonts w:cs="Arial"/>
          <w:sz w:val="22"/>
          <w:szCs w:val="22"/>
        </w:rPr>
        <w:t xml:space="preserve"> attended a facilitated joint working session with 4-Fed on 14</w:t>
      </w:r>
      <w:r w:rsidRPr="00E864A6">
        <w:rPr>
          <w:rFonts w:cs="Arial"/>
          <w:sz w:val="22"/>
          <w:szCs w:val="22"/>
          <w:vertAlign w:val="superscript"/>
        </w:rPr>
        <w:t>th</w:t>
      </w:r>
      <w:r>
        <w:rPr>
          <w:rFonts w:cs="Arial"/>
          <w:sz w:val="22"/>
          <w:szCs w:val="22"/>
        </w:rPr>
        <w:t xml:space="preserve"> June.</w:t>
      </w:r>
    </w:p>
    <w:p w:rsidR="00E864A6" w:rsidRPr="00E864A6" w:rsidRDefault="00E864A6" w:rsidP="00E864A6">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Pr>
          <w:rFonts w:cs="Arial"/>
          <w:sz w:val="22"/>
          <w:szCs w:val="22"/>
        </w:rPr>
        <w:t>Tamsin Hooton provided a briefing on the LPT community services re-design project which includes; DNs, Community Nursing, ICS, Community beds, Therapies, Prima</w:t>
      </w:r>
      <w:r w:rsidR="00CE03FC">
        <w:rPr>
          <w:rFonts w:cs="Arial"/>
          <w:sz w:val="22"/>
          <w:szCs w:val="22"/>
        </w:rPr>
        <w:t>ry Care Coordinators.  Procurement options will be outlined in autumn 2018.</w:t>
      </w:r>
    </w:p>
    <w:p w:rsidR="00E864A6" w:rsidRDefault="00CE03FC" w:rsidP="00E864A6">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Pr>
          <w:rFonts w:cs="Arial"/>
          <w:sz w:val="22"/>
          <w:szCs w:val="22"/>
        </w:rPr>
        <w:t>Tamsin</w:t>
      </w:r>
      <w:r w:rsidR="00E864A6">
        <w:rPr>
          <w:rFonts w:cs="Arial"/>
          <w:sz w:val="22"/>
          <w:szCs w:val="22"/>
        </w:rPr>
        <w:t xml:space="preserve"> encouraged Federations to engage with LPT to consider possible partnership working.</w:t>
      </w:r>
    </w:p>
    <w:p w:rsidR="00CE03FC" w:rsidRDefault="00CE03FC" w:rsidP="00E864A6">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Pr>
          <w:rFonts w:cs="Arial"/>
          <w:sz w:val="22"/>
          <w:szCs w:val="22"/>
        </w:rPr>
        <w:lastRenderedPageBreak/>
        <w:t>Initially, there is an opportunity to engage with LPT to support the winter pressures (ICS)</w:t>
      </w:r>
    </w:p>
    <w:p w:rsidR="00CE03FC" w:rsidRDefault="00CE03FC" w:rsidP="00E864A6">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Pr>
          <w:rFonts w:cs="Arial"/>
          <w:sz w:val="22"/>
          <w:szCs w:val="22"/>
        </w:rPr>
        <w:t>JW/GC will meet with LPT on 5</w:t>
      </w:r>
      <w:r w:rsidRPr="00CE03FC">
        <w:rPr>
          <w:rFonts w:cs="Arial"/>
          <w:sz w:val="22"/>
          <w:szCs w:val="22"/>
          <w:vertAlign w:val="superscript"/>
        </w:rPr>
        <w:t>th</w:t>
      </w:r>
      <w:r>
        <w:rPr>
          <w:rFonts w:cs="Arial"/>
          <w:sz w:val="22"/>
          <w:szCs w:val="22"/>
        </w:rPr>
        <w:t xml:space="preserve"> July 2018.</w:t>
      </w:r>
    </w:p>
    <w:p w:rsidR="00390651" w:rsidRDefault="00390651" w:rsidP="00E864A6">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Pr>
          <w:rFonts w:cs="Arial"/>
          <w:sz w:val="22"/>
          <w:szCs w:val="22"/>
        </w:rPr>
        <w:t>RB attended a workshop on 3</w:t>
      </w:r>
      <w:r w:rsidRPr="00390651">
        <w:rPr>
          <w:rFonts w:cs="Arial"/>
          <w:sz w:val="22"/>
          <w:szCs w:val="22"/>
          <w:vertAlign w:val="superscript"/>
        </w:rPr>
        <w:t>rd</w:t>
      </w:r>
      <w:r>
        <w:rPr>
          <w:rFonts w:cs="Arial"/>
          <w:sz w:val="22"/>
          <w:szCs w:val="22"/>
        </w:rPr>
        <w:t xml:space="preserve"> July 2018 and will feedback at the meeting.</w:t>
      </w:r>
    </w:p>
    <w:p w:rsidR="00E864A6" w:rsidRDefault="00E864A6" w:rsidP="00E864A6">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Clearly, the Federations have an opportunity to collaborate and present a strong united primary care </w:t>
      </w:r>
      <w:r w:rsidR="00CE03FC">
        <w:rPr>
          <w:rFonts w:cs="Arial"/>
          <w:sz w:val="22"/>
          <w:szCs w:val="22"/>
        </w:rPr>
        <w:t>position.</w:t>
      </w:r>
    </w:p>
    <w:p w:rsidR="00CE03FC" w:rsidRPr="00CE03FC" w:rsidRDefault="00CE03FC" w:rsidP="00E864A6">
      <w:pPr>
        <w:pStyle w:val="ListParagraph"/>
        <w:widowControl w:val="0"/>
        <w:numPr>
          <w:ilvl w:val="0"/>
          <w:numId w:val="38"/>
        </w:numPr>
        <w:tabs>
          <w:tab w:val="left" w:pos="220"/>
          <w:tab w:val="left" w:pos="720"/>
        </w:tabs>
        <w:autoSpaceDE w:val="0"/>
        <w:autoSpaceDN w:val="0"/>
        <w:adjustRightInd w:val="0"/>
        <w:spacing w:line="276" w:lineRule="auto"/>
        <w:rPr>
          <w:rFonts w:cs="Arial"/>
          <w:b/>
          <w:sz w:val="22"/>
          <w:szCs w:val="22"/>
          <w:u w:val="single"/>
        </w:rPr>
      </w:pPr>
      <w:r w:rsidRPr="00CE03FC">
        <w:rPr>
          <w:rFonts w:cs="Arial"/>
          <w:b/>
          <w:sz w:val="22"/>
          <w:szCs w:val="22"/>
          <w:u w:val="single"/>
        </w:rPr>
        <w:t>4-Fed have asked ELR GP Fed to consider whether / how it wishes to collaborate and how this might be formalized / resourced.  Representatives from 4-Fed would be pleased to attend a future meeting to progress.</w:t>
      </w:r>
    </w:p>
    <w:p w:rsidR="00E864A6" w:rsidRDefault="00E864A6" w:rsidP="00E864A6">
      <w:pPr>
        <w:pStyle w:val="ListParagraph"/>
        <w:widowControl w:val="0"/>
        <w:tabs>
          <w:tab w:val="left" w:pos="220"/>
          <w:tab w:val="left" w:pos="720"/>
        </w:tabs>
        <w:autoSpaceDE w:val="0"/>
        <w:autoSpaceDN w:val="0"/>
        <w:adjustRightInd w:val="0"/>
        <w:spacing w:line="276" w:lineRule="auto"/>
        <w:rPr>
          <w:rFonts w:cs="Arial"/>
          <w:b/>
          <w:sz w:val="22"/>
          <w:szCs w:val="22"/>
        </w:rPr>
      </w:pPr>
    </w:p>
    <w:p w:rsidR="00FE543E" w:rsidRPr="00133FC8" w:rsidRDefault="00164951" w:rsidP="00133FC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 xml:space="preserve">Winter Access scheme </w:t>
      </w:r>
    </w:p>
    <w:p w:rsidR="00760792" w:rsidRPr="00B71841" w:rsidRDefault="00760792" w:rsidP="00760792">
      <w:pPr>
        <w:pStyle w:val="ListParagraph"/>
        <w:widowControl w:val="0"/>
        <w:numPr>
          <w:ilvl w:val="1"/>
          <w:numId w:val="1"/>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Market </w:t>
      </w:r>
      <w:proofErr w:type="spellStart"/>
      <w:r>
        <w:rPr>
          <w:rFonts w:cs="Arial"/>
          <w:sz w:val="22"/>
          <w:szCs w:val="22"/>
        </w:rPr>
        <w:t>Harborough</w:t>
      </w:r>
      <w:proofErr w:type="spellEnd"/>
      <w:r w:rsidR="00133FC8">
        <w:rPr>
          <w:rFonts w:cs="Arial"/>
          <w:sz w:val="22"/>
          <w:szCs w:val="22"/>
        </w:rPr>
        <w:t xml:space="preserve"> have confirmed that they did not take part this y</w:t>
      </w:r>
      <w:bookmarkStart w:id="0" w:name="_GoBack"/>
      <w:bookmarkEnd w:id="0"/>
      <w:r w:rsidR="00133FC8">
        <w:rPr>
          <w:rFonts w:cs="Arial"/>
          <w:sz w:val="22"/>
          <w:szCs w:val="22"/>
        </w:rPr>
        <w:t>ear.  We will now distribute the remaining funds accordingly.</w:t>
      </w:r>
    </w:p>
    <w:p w:rsidR="00164951" w:rsidRPr="007F0B03" w:rsidRDefault="00164951" w:rsidP="00164951">
      <w:pPr>
        <w:widowControl w:val="0"/>
        <w:tabs>
          <w:tab w:val="left" w:pos="220"/>
          <w:tab w:val="left" w:pos="720"/>
        </w:tabs>
        <w:autoSpaceDE w:val="0"/>
        <w:autoSpaceDN w:val="0"/>
        <w:adjustRightInd w:val="0"/>
        <w:ind w:left="220"/>
        <w:rPr>
          <w:rFonts w:cs="Arial"/>
          <w:b/>
          <w:sz w:val="22"/>
          <w:szCs w:val="22"/>
        </w:rPr>
      </w:pPr>
    </w:p>
    <w:p w:rsidR="00760792" w:rsidRPr="00760792" w:rsidRDefault="00FE543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NHS England; Clinical pharmaci</w:t>
      </w:r>
      <w:r w:rsidR="0027284E">
        <w:rPr>
          <w:rFonts w:cs="Arial"/>
          <w:b/>
          <w:sz w:val="22"/>
          <w:szCs w:val="22"/>
        </w:rPr>
        <w:t>sts in general practice Project</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Prescribing Support Services are ready to go.</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Three Practices have withdrawn from the scheme</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Glenfield have agreed to come into the scheme</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Severn are considering joining the team</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With Glenfield and Severn - we achieve the 90,000 patients - see updated schedule attached.</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I have advised NHS E of the change of practices and await a response - and will follow up.</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The plan is for the three lead practices to hold the NHS E contracts (attached).  They will receive the NHS E money, which will be passed to PSS.</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Each practice will have an SLA with PSS based on the attached template; which needs finalising.  Practices will pay their 'matched funding' to PSS.</w:t>
      </w:r>
    </w:p>
    <w:p w:rsidR="00193521" w:rsidRPr="0027284E" w:rsidRDefault="006620D3" w:rsidP="0027284E">
      <w:pPr>
        <w:pStyle w:val="ListParagraph"/>
        <w:widowControl w:val="0"/>
        <w:numPr>
          <w:ilvl w:val="0"/>
          <w:numId w:val="40"/>
        </w:numPr>
        <w:tabs>
          <w:tab w:val="left" w:pos="220"/>
          <w:tab w:val="left" w:pos="720"/>
        </w:tabs>
        <w:autoSpaceDE w:val="0"/>
        <w:autoSpaceDN w:val="0"/>
        <w:adjustRightInd w:val="0"/>
        <w:spacing w:line="276" w:lineRule="auto"/>
        <w:rPr>
          <w:rFonts w:cs="Arial"/>
          <w:sz w:val="22"/>
          <w:szCs w:val="22"/>
        </w:rPr>
      </w:pPr>
      <w:r w:rsidRPr="0027284E">
        <w:rPr>
          <w:rFonts w:cs="Arial"/>
          <w:sz w:val="22"/>
          <w:szCs w:val="22"/>
        </w:rPr>
        <w:t xml:space="preserve">Tim Sacks </w:t>
      </w:r>
      <w:r w:rsidR="00133FC8" w:rsidRPr="0027284E">
        <w:rPr>
          <w:rFonts w:cs="Arial"/>
          <w:sz w:val="22"/>
          <w:szCs w:val="22"/>
        </w:rPr>
        <w:t xml:space="preserve">has confirmed that </w:t>
      </w:r>
      <w:r w:rsidRPr="0027284E">
        <w:rPr>
          <w:rFonts w:cs="Arial"/>
          <w:sz w:val="22"/>
          <w:szCs w:val="22"/>
        </w:rPr>
        <w:t xml:space="preserve">the CCG £2/patient scheme </w:t>
      </w:r>
      <w:r w:rsidR="00133FC8" w:rsidRPr="0027284E">
        <w:rPr>
          <w:rFonts w:cs="Arial"/>
          <w:sz w:val="22"/>
          <w:szCs w:val="22"/>
        </w:rPr>
        <w:t xml:space="preserve">can </w:t>
      </w:r>
      <w:r w:rsidRPr="0027284E">
        <w:rPr>
          <w:rFonts w:cs="Arial"/>
          <w:sz w:val="22"/>
          <w:szCs w:val="22"/>
        </w:rPr>
        <w:t xml:space="preserve">be used to contribute towards the matched fund </w:t>
      </w:r>
      <w:r w:rsidR="00133FC8" w:rsidRPr="0027284E">
        <w:rPr>
          <w:rFonts w:cs="Arial"/>
          <w:sz w:val="22"/>
          <w:szCs w:val="22"/>
        </w:rPr>
        <w:t>element of the scheme.</w:t>
      </w:r>
    </w:p>
    <w:p w:rsidR="002337B5" w:rsidRPr="00B330BE" w:rsidRDefault="002337B5" w:rsidP="00B330BE">
      <w:pPr>
        <w:widowControl w:val="0"/>
        <w:tabs>
          <w:tab w:val="left" w:pos="220"/>
          <w:tab w:val="left" w:pos="720"/>
        </w:tabs>
        <w:autoSpaceDE w:val="0"/>
        <w:autoSpaceDN w:val="0"/>
        <w:adjustRightInd w:val="0"/>
        <w:rPr>
          <w:rFonts w:cs="Arial"/>
          <w:sz w:val="22"/>
          <w:szCs w:val="22"/>
        </w:rPr>
      </w:pPr>
    </w:p>
    <w:p w:rsidR="00B330BE" w:rsidRPr="00B71841" w:rsidRDefault="00B330BE"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 and inter-practice referral process</w:t>
      </w:r>
    </w:p>
    <w:p w:rsidR="00AC7021" w:rsidRPr="00147709" w:rsidRDefault="00AC7021" w:rsidP="00147709">
      <w:pPr>
        <w:pStyle w:val="ListParagraph"/>
        <w:numPr>
          <w:ilvl w:val="0"/>
          <w:numId w:val="3"/>
        </w:numPr>
        <w:spacing w:line="276" w:lineRule="auto"/>
        <w:rPr>
          <w:rFonts w:cs="Arial"/>
          <w:sz w:val="22"/>
          <w:szCs w:val="22"/>
          <w:lang w:val="en-GB"/>
        </w:rPr>
      </w:pPr>
      <w:r>
        <w:rPr>
          <w:rFonts w:cs="Arial"/>
          <w:sz w:val="22"/>
          <w:szCs w:val="22"/>
          <w:lang w:val="en-GB"/>
        </w:rPr>
        <w:t>Latham House are being audited.</w:t>
      </w:r>
    </w:p>
    <w:p w:rsidR="004E0317" w:rsidRPr="00E918C0" w:rsidRDefault="00560FAA" w:rsidP="00CD10D0">
      <w:pPr>
        <w:pStyle w:val="ListParagraph"/>
        <w:numPr>
          <w:ilvl w:val="0"/>
          <w:numId w:val="3"/>
        </w:numPr>
        <w:spacing w:line="276" w:lineRule="auto"/>
        <w:rPr>
          <w:rFonts w:cs="Arial"/>
          <w:sz w:val="22"/>
          <w:szCs w:val="22"/>
          <w:lang w:val="en-GB"/>
        </w:rPr>
      </w:pPr>
      <w:r>
        <w:rPr>
          <w:rFonts w:cs="Arial"/>
          <w:sz w:val="22"/>
          <w:szCs w:val="22"/>
          <w:lang w:val="en-GB"/>
        </w:rPr>
        <w:t>HP</w:t>
      </w:r>
      <w:r w:rsidR="00EB452D">
        <w:rPr>
          <w:rFonts w:cs="Arial"/>
          <w:sz w:val="22"/>
          <w:szCs w:val="22"/>
          <w:lang w:val="en-GB"/>
        </w:rPr>
        <w:t xml:space="preserve"> </w:t>
      </w:r>
      <w:r>
        <w:rPr>
          <w:rFonts w:cs="Arial"/>
          <w:sz w:val="22"/>
          <w:szCs w:val="22"/>
          <w:lang w:val="en-GB"/>
        </w:rPr>
        <w:t>is contacting our sub-contracting practices to update the</w:t>
      </w:r>
      <w:r w:rsidR="00EB452D">
        <w:rPr>
          <w:rFonts w:cs="Arial"/>
          <w:sz w:val="22"/>
          <w:szCs w:val="22"/>
          <w:lang w:val="en-GB"/>
        </w:rPr>
        <w:t xml:space="preserve"> schedule of fitters and their evidence to practice and indemnity certificates</w:t>
      </w:r>
    </w:p>
    <w:p w:rsidR="00C07DF5" w:rsidRDefault="00C07DF5" w:rsidP="00DA09E0">
      <w:pPr>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Correspondence management </w:t>
      </w:r>
    </w:p>
    <w:p w:rsidR="00B10D9E" w:rsidRDefault="007F0B03" w:rsidP="00CD10D0">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The practices attended the LLR workshop in April 2018</w:t>
      </w:r>
      <w:r w:rsidR="00560FAA">
        <w:rPr>
          <w:rFonts w:cs="Arial"/>
          <w:sz w:val="22"/>
          <w:szCs w:val="22"/>
        </w:rPr>
        <w:t>; follow-up session in May 2018</w:t>
      </w:r>
    </w:p>
    <w:p w:rsidR="00147709" w:rsidRDefault="00147709" w:rsidP="00CD10D0">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Project meeting held in June 2018 to support the </w:t>
      </w:r>
      <w:r>
        <w:rPr>
          <w:rFonts w:cs="Arial"/>
          <w:sz w:val="22"/>
          <w:szCs w:val="22"/>
          <w:lang w:val="en-GB"/>
        </w:rPr>
        <w:t>seven practices in</w:t>
      </w:r>
      <w:r>
        <w:rPr>
          <w:rFonts w:cs="Arial"/>
          <w:sz w:val="22"/>
          <w:szCs w:val="22"/>
          <w:lang w:val="en-GB"/>
        </w:rPr>
        <w:t xml:space="preserve"> implementing </w:t>
      </w:r>
      <w:r>
        <w:rPr>
          <w:rFonts w:cs="Arial"/>
          <w:sz w:val="22"/>
          <w:szCs w:val="22"/>
          <w:lang w:val="en-GB"/>
        </w:rPr>
        <w:t xml:space="preserve">the </w:t>
      </w:r>
      <w:r>
        <w:rPr>
          <w:rFonts w:cs="Arial"/>
          <w:sz w:val="22"/>
          <w:szCs w:val="22"/>
          <w:lang w:val="en-GB"/>
        </w:rPr>
        <w:t>correspondence management process</w:t>
      </w:r>
    </w:p>
    <w:p w:rsidR="007F0B03" w:rsidRP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B330BE" w:rsidRPr="00FE543E" w:rsidRDefault="00B330B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p>
    <w:p w:rsidR="00FC57E7" w:rsidRDefault="00147709" w:rsidP="00CD10D0">
      <w:pPr>
        <w:pStyle w:val="ListParagraph"/>
        <w:numPr>
          <w:ilvl w:val="0"/>
          <w:numId w:val="5"/>
        </w:numPr>
        <w:spacing w:line="276" w:lineRule="auto"/>
        <w:rPr>
          <w:rFonts w:cs="Arial"/>
          <w:sz w:val="22"/>
          <w:szCs w:val="22"/>
        </w:rPr>
      </w:pPr>
      <w:r>
        <w:rPr>
          <w:rFonts w:cs="Arial"/>
          <w:sz w:val="22"/>
          <w:szCs w:val="22"/>
        </w:rPr>
        <w:t xml:space="preserve">RB/JW met with the </w:t>
      </w:r>
      <w:r w:rsidR="007F0B03">
        <w:rPr>
          <w:rFonts w:cs="Arial"/>
          <w:sz w:val="22"/>
          <w:szCs w:val="22"/>
        </w:rPr>
        <w:t xml:space="preserve">CCG </w:t>
      </w:r>
      <w:r>
        <w:rPr>
          <w:rFonts w:cs="Arial"/>
          <w:sz w:val="22"/>
          <w:szCs w:val="22"/>
        </w:rPr>
        <w:t>on</w:t>
      </w:r>
      <w:r w:rsidR="00560FAA">
        <w:rPr>
          <w:rFonts w:cs="Arial"/>
          <w:sz w:val="22"/>
          <w:szCs w:val="22"/>
        </w:rPr>
        <w:t xml:space="preserve"> 1</w:t>
      </w:r>
      <w:r w:rsidR="00560FAA" w:rsidRPr="00560FAA">
        <w:rPr>
          <w:rFonts w:cs="Arial"/>
          <w:sz w:val="22"/>
          <w:szCs w:val="22"/>
          <w:vertAlign w:val="superscript"/>
        </w:rPr>
        <w:t>st</w:t>
      </w:r>
      <w:r w:rsidR="00560FAA">
        <w:rPr>
          <w:rFonts w:cs="Arial"/>
          <w:sz w:val="22"/>
          <w:szCs w:val="22"/>
        </w:rPr>
        <w:t xml:space="preserve"> June 2018 to agree the approach for FY18/19.</w:t>
      </w:r>
    </w:p>
    <w:p w:rsidR="00FA1A60" w:rsidRDefault="00560FAA" w:rsidP="00CD10D0">
      <w:pPr>
        <w:pStyle w:val="ListParagraph"/>
        <w:numPr>
          <w:ilvl w:val="0"/>
          <w:numId w:val="5"/>
        </w:numPr>
        <w:spacing w:line="276" w:lineRule="auto"/>
        <w:rPr>
          <w:rFonts w:cs="Arial"/>
          <w:sz w:val="22"/>
          <w:szCs w:val="22"/>
        </w:rPr>
      </w:pPr>
      <w:r>
        <w:rPr>
          <w:rFonts w:cs="Arial"/>
          <w:sz w:val="22"/>
          <w:szCs w:val="22"/>
        </w:rPr>
        <w:t xml:space="preserve">Tim Sacks has confirmed that the Federation will be paid for this work </w:t>
      </w:r>
      <w:r w:rsidR="00FC57E7">
        <w:rPr>
          <w:rFonts w:cs="Arial"/>
          <w:sz w:val="22"/>
          <w:szCs w:val="22"/>
        </w:rPr>
        <w:t>@ 10p/patient for FY18/19.</w:t>
      </w:r>
    </w:p>
    <w:p w:rsidR="00147709" w:rsidRDefault="00147709" w:rsidP="00CD10D0">
      <w:pPr>
        <w:pStyle w:val="ListParagraph"/>
        <w:numPr>
          <w:ilvl w:val="0"/>
          <w:numId w:val="5"/>
        </w:numPr>
        <w:spacing w:line="276" w:lineRule="auto"/>
        <w:rPr>
          <w:rFonts w:cs="Arial"/>
          <w:sz w:val="22"/>
          <w:szCs w:val="22"/>
        </w:rPr>
      </w:pPr>
      <w:r>
        <w:rPr>
          <w:rFonts w:cs="Arial"/>
          <w:sz w:val="22"/>
          <w:szCs w:val="22"/>
        </w:rPr>
        <w:t>Further meeting scheduled for 6</w:t>
      </w:r>
      <w:r w:rsidRPr="00147709">
        <w:rPr>
          <w:rFonts w:cs="Arial"/>
          <w:sz w:val="22"/>
          <w:szCs w:val="22"/>
          <w:vertAlign w:val="superscript"/>
        </w:rPr>
        <w:t>th</w:t>
      </w:r>
      <w:r>
        <w:rPr>
          <w:rFonts w:cs="Arial"/>
          <w:sz w:val="22"/>
          <w:szCs w:val="22"/>
        </w:rPr>
        <w:t xml:space="preserve"> July 2018 to </w:t>
      </w:r>
      <w:proofErr w:type="spellStart"/>
      <w:r>
        <w:rPr>
          <w:rFonts w:cs="Arial"/>
          <w:sz w:val="22"/>
          <w:szCs w:val="22"/>
        </w:rPr>
        <w:t>finalise</w:t>
      </w:r>
      <w:proofErr w:type="spellEnd"/>
      <w:r>
        <w:rPr>
          <w:rFonts w:cs="Arial"/>
          <w:sz w:val="22"/>
          <w:szCs w:val="22"/>
        </w:rPr>
        <w:t xml:space="preserve"> the approach for this year.</w:t>
      </w:r>
    </w:p>
    <w:p w:rsidR="002A6A0F" w:rsidRPr="00FA1A60" w:rsidRDefault="002A6A0F" w:rsidP="00CD10D0">
      <w:pPr>
        <w:pStyle w:val="ListParagraph"/>
        <w:numPr>
          <w:ilvl w:val="0"/>
          <w:numId w:val="5"/>
        </w:numPr>
        <w:spacing w:line="276" w:lineRule="auto"/>
        <w:rPr>
          <w:rFonts w:cs="Arial"/>
          <w:sz w:val="22"/>
          <w:szCs w:val="22"/>
        </w:rPr>
      </w:pPr>
      <w:r>
        <w:rPr>
          <w:rFonts w:cs="Arial"/>
          <w:sz w:val="22"/>
          <w:szCs w:val="22"/>
        </w:rPr>
        <w:t>We are assisting with the CCG Referral Management work stream to po</w:t>
      </w:r>
      <w:r w:rsidR="00147709">
        <w:rPr>
          <w:rFonts w:cs="Arial"/>
          <w:sz w:val="22"/>
          <w:szCs w:val="22"/>
        </w:rPr>
        <w:t>tentially develop referral hubs; where there is potential overlap.</w:t>
      </w:r>
    </w:p>
    <w:p w:rsidR="00FA1A60" w:rsidRDefault="00FA1A60" w:rsidP="00FA1A60">
      <w:pPr>
        <w:spacing w:line="276" w:lineRule="auto"/>
        <w:rPr>
          <w:rFonts w:cs="Arial"/>
          <w:sz w:val="22"/>
          <w:szCs w:val="22"/>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lastRenderedPageBreak/>
        <w:t>Diabetes nurse specialists</w:t>
      </w:r>
    </w:p>
    <w:p w:rsidR="00FC57E7" w:rsidRPr="007F0B03" w:rsidRDefault="00FC57E7"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Implementing with Latham House, with support from Diabetes Centre (Laura Willcocks)</w:t>
      </w:r>
    </w:p>
    <w:p w:rsidR="00560FAA" w:rsidRPr="00560FAA" w:rsidRDefault="00560FAA"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Two DSNs have started work</w:t>
      </w:r>
      <w:r w:rsidR="007F0B03">
        <w:rPr>
          <w:color w:val="333333"/>
          <w:sz w:val="22"/>
          <w:szCs w:val="22"/>
        </w:rPr>
        <w:t>.</w:t>
      </w:r>
      <w:r w:rsidR="00147709">
        <w:rPr>
          <w:color w:val="333333"/>
          <w:sz w:val="22"/>
          <w:szCs w:val="22"/>
        </w:rPr>
        <w:t xml:space="preserve">  Further recruitment is needed.</w:t>
      </w:r>
    </w:p>
    <w:p w:rsidR="00946044" w:rsidRPr="00FC57E7" w:rsidRDefault="00560FAA"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 </w:t>
      </w:r>
      <w:r w:rsidR="00FC57E7">
        <w:rPr>
          <w:color w:val="333333"/>
          <w:sz w:val="22"/>
          <w:szCs w:val="22"/>
        </w:rPr>
        <w:t xml:space="preserve">Anne Scott </w:t>
      </w:r>
      <w:r w:rsidR="00946044" w:rsidRPr="00FC57E7">
        <w:rPr>
          <w:color w:val="333333"/>
          <w:sz w:val="22"/>
          <w:szCs w:val="22"/>
        </w:rPr>
        <w:t xml:space="preserve">(ELR CCG) </w:t>
      </w:r>
      <w:r w:rsidR="00BC1B31">
        <w:rPr>
          <w:color w:val="333333"/>
          <w:sz w:val="22"/>
          <w:szCs w:val="22"/>
        </w:rPr>
        <w:t>has agreed to assist</w:t>
      </w:r>
      <w:r w:rsidR="00946044" w:rsidRPr="00FC57E7">
        <w:rPr>
          <w:color w:val="333333"/>
          <w:sz w:val="22"/>
          <w:szCs w:val="22"/>
        </w:rPr>
        <w:t xml:space="preserve"> with implementing a clinical governanc</w:t>
      </w:r>
      <w:r w:rsidR="00147709">
        <w:rPr>
          <w:color w:val="333333"/>
          <w:sz w:val="22"/>
          <w:szCs w:val="22"/>
        </w:rPr>
        <w:t>e process to assure this scheme.</w:t>
      </w:r>
    </w:p>
    <w:p w:rsidR="00525FB6" w:rsidRPr="00E20DEB" w:rsidRDefault="00525FB6" w:rsidP="00525FB6">
      <w:pPr>
        <w:pStyle w:val="ListParagraph"/>
        <w:widowControl w:val="0"/>
        <w:tabs>
          <w:tab w:val="left" w:pos="220"/>
          <w:tab w:val="left" w:pos="720"/>
        </w:tabs>
        <w:autoSpaceDE w:val="0"/>
        <w:autoSpaceDN w:val="0"/>
        <w:adjustRightInd w:val="0"/>
        <w:ind w:left="360"/>
        <w:rPr>
          <w:b/>
          <w:color w:val="333333"/>
          <w:sz w:val="22"/>
          <w:szCs w:val="22"/>
        </w:rPr>
      </w:pPr>
    </w:p>
    <w:p w:rsidR="00BC1B31" w:rsidRDefault="00BC1B31" w:rsidP="00BC1B3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rsidR="00E66841" w:rsidRDefault="00560FA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JW to d</w:t>
      </w:r>
      <w:r w:rsidR="00E66841">
        <w:rPr>
          <w:rFonts w:cs="Arial"/>
          <w:sz w:val="22"/>
          <w:szCs w:val="22"/>
        </w:rPr>
        <w:t>evelop sub-contract agreements with practices.</w:t>
      </w:r>
    </w:p>
    <w:p w:rsidR="00BC1B31" w:rsidRDefault="00560FA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T</w:t>
      </w:r>
      <w:r w:rsidR="00E66841">
        <w:rPr>
          <w:rFonts w:cs="Arial"/>
          <w:sz w:val="22"/>
          <w:szCs w:val="22"/>
        </w:rPr>
        <w:t>he project and project m</w:t>
      </w:r>
      <w:r>
        <w:rPr>
          <w:rFonts w:cs="Arial"/>
          <w:sz w:val="22"/>
          <w:szCs w:val="22"/>
        </w:rPr>
        <w:t xml:space="preserve">anagement structure is in place and the practices are </w:t>
      </w:r>
      <w:r w:rsidR="00147709">
        <w:rPr>
          <w:rFonts w:cs="Arial"/>
          <w:sz w:val="22"/>
          <w:szCs w:val="22"/>
        </w:rPr>
        <w:t xml:space="preserve">starting to use the system. </w:t>
      </w:r>
    </w:p>
    <w:p w:rsidR="00560FAA" w:rsidRPr="00E66841" w:rsidRDefault="00560FA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Key review date in November 2018 to determine whether the project will continue into Year 2.</w:t>
      </w:r>
    </w:p>
    <w:p w:rsidR="00BC1B31" w:rsidRPr="00BC1B31" w:rsidRDefault="00BC1B31" w:rsidP="00BC1B31">
      <w:pPr>
        <w:pStyle w:val="ListParagraph"/>
        <w:widowControl w:val="0"/>
        <w:tabs>
          <w:tab w:val="left" w:pos="220"/>
          <w:tab w:val="left" w:pos="720"/>
        </w:tabs>
        <w:autoSpaceDE w:val="0"/>
        <w:autoSpaceDN w:val="0"/>
        <w:adjustRightInd w:val="0"/>
        <w:ind w:left="360"/>
        <w:rPr>
          <w:rFonts w:cs="Arial"/>
          <w:sz w:val="22"/>
          <w:szCs w:val="22"/>
        </w:rPr>
      </w:pPr>
    </w:p>
    <w:p w:rsidR="00E66841" w:rsidRPr="00E66841" w:rsidRDefault="00BC1B31"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sidRPr="007D0A1E">
        <w:rPr>
          <w:rFonts w:cs="Arial"/>
          <w:b/>
          <w:sz w:val="22"/>
          <w:szCs w:val="22"/>
        </w:rPr>
        <w:t xml:space="preserve">GP </w:t>
      </w:r>
      <w:proofErr w:type="spellStart"/>
      <w:r w:rsidRPr="007D0A1E">
        <w:rPr>
          <w:rFonts w:cs="Arial"/>
          <w:b/>
          <w:sz w:val="22"/>
          <w:szCs w:val="22"/>
        </w:rPr>
        <w:t>TeamNet</w:t>
      </w:r>
      <w:proofErr w:type="spellEnd"/>
      <w:r w:rsidRPr="007D0A1E">
        <w:rPr>
          <w:rFonts w:cs="Arial"/>
          <w:b/>
          <w:sz w:val="22"/>
          <w:szCs w:val="22"/>
        </w:rPr>
        <w:t xml:space="preserve">  - </w:t>
      </w:r>
      <w:r w:rsidRPr="007D0A1E">
        <w:rPr>
          <w:rFonts w:cs="Arial"/>
          <w:sz w:val="22"/>
          <w:szCs w:val="22"/>
        </w:rPr>
        <w:t xml:space="preserve">This is an option </w:t>
      </w:r>
      <w:r w:rsidR="00560FAA">
        <w:rPr>
          <w:rFonts w:cs="Arial"/>
          <w:sz w:val="22"/>
          <w:szCs w:val="22"/>
        </w:rPr>
        <w:t xml:space="preserve">has been identified </w:t>
      </w:r>
      <w:r>
        <w:rPr>
          <w:rFonts w:cs="Arial"/>
          <w:sz w:val="22"/>
          <w:szCs w:val="22"/>
        </w:rPr>
        <w:t xml:space="preserve">by the </w:t>
      </w:r>
      <w:proofErr w:type="spellStart"/>
      <w:r>
        <w:rPr>
          <w:rFonts w:cs="Arial"/>
          <w:sz w:val="22"/>
          <w:szCs w:val="22"/>
        </w:rPr>
        <w:t>Harborough</w:t>
      </w:r>
      <w:proofErr w:type="spellEnd"/>
      <w:r w:rsidR="00560FAA">
        <w:rPr>
          <w:rFonts w:cs="Arial"/>
          <w:sz w:val="22"/>
          <w:szCs w:val="22"/>
        </w:rPr>
        <w:t xml:space="preserve">, SLAM and Rutland </w:t>
      </w:r>
      <w:r w:rsidR="00147709">
        <w:rPr>
          <w:rFonts w:cs="Arial"/>
          <w:sz w:val="22"/>
          <w:szCs w:val="22"/>
        </w:rPr>
        <w:t xml:space="preserve">and O&amp;W </w:t>
      </w:r>
      <w:r w:rsidR="00560FAA">
        <w:rPr>
          <w:rFonts w:cs="Arial"/>
          <w:sz w:val="22"/>
          <w:szCs w:val="22"/>
        </w:rPr>
        <w:t xml:space="preserve">Localities to assist with information sharing and joint working between practices.  </w:t>
      </w:r>
      <w:r w:rsidR="00147709">
        <w:rPr>
          <w:rFonts w:cs="Arial"/>
          <w:sz w:val="22"/>
          <w:szCs w:val="22"/>
        </w:rPr>
        <w:t>We held a demonstration in June 2018 which was well attended and a lot of enthusiasm expressed to implement the system across ELR.</w:t>
      </w:r>
    </w:p>
    <w:p w:rsidR="00E66841" w:rsidRPr="00E66841" w:rsidRDefault="00E66841" w:rsidP="00E66841">
      <w:pPr>
        <w:pStyle w:val="ListParagraph"/>
        <w:widowControl w:val="0"/>
        <w:tabs>
          <w:tab w:val="left" w:pos="220"/>
          <w:tab w:val="left" w:pos="720"/>
        </w:tabs>
        <w:autoSpaceDE w:val="0"/>
        <w:autoSpaceDN w:val="0"/>
        <w:adjustRightInd w:val="0"/>
        <w:ind w:left="360"/>
        <w:rPr>
          <w:rFonts w:cs="Arial"/>
          <w:sz w:val="22"/>
          <w:szCs w:val="22"/>
        </w:rPr>
      </w:pPr>
    </w:p>
    <w:p w:rsidR="00E66841" w:rsidRPr="00E66841" w:rsidRDefault="00E66841"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sidRPr="00B330BE">
        <w:rPr>
          <w:rFonts w:cs="Arial"/>
          <w:b/>
          <w:sz w:val="22"/>
          <w:szCs w:val="22"/>
        </w:rPr>
        <w:t>Service contracts</w:t>
      </w:r>
      <w:r>
        <w:rPr>
          <w:rFonts w:cs="Arial"/>
          <w:b/>
          <w:sz w:val="22"/>
          <w:szCs w:val="22"/>
        </w:rPr>
        <w:t xml:space="preserve"> –</w:t>
      </w:r>
      <w:r w:rsidRPr="00E66841">
        <w:rPr>
          <w:rFonts w:cs="Arial"/>
          <w:sz w:val="22"/>
          <w:szCs w:val="22"/>
        </w:rPr>
        <w:t>ELR CCG have confirmed that H</w:t>
      </w:r>
      <w:r>
        <w:rPr>
          <w:rFonts w:cs="Arial"/>
          <w:sz w:val="22"/>
          <w:szCs w:val="22"/>
        </w:rPr>
        <w:t xml:space="preserve"> </w:t>
      </w:r>
      <w:proofErr w:type="gramStart"/>
      <w:r>
        <w:rPr>
          <w:rFonts w:cs="Arial"/>
          <w:sz w:val="22"/>
          <w:szCs w:val="22"/>
        </w:rPr>
        <w:t>Pylori,</w:t>
      </w:r>
      <w:proofErr w:type="gramEnd"/>
      <w:r>
        <w:rPr>
          <w:rFonts w:cs="Arial"/>
          <w:sz w:val="22"/>
          <w:szCs w:val="22"/>
        </w:rPr>
        <w:t xml:space="preserve"> will be procured via the Federation.  </w:t>
      </w:r>
      <w:r w:rsidR="00560FAA">
        <w:rPr>
          <w:rFonts w:cs="Arial"/>
          <w:sz w:val="22"/>
          <w:szCs w:val="22"/>
        </w:rPr>
        <w:t xml:space="preserve">JW has met with PCL to progress – awaiting final confirmation.  Notification </w:t>
      </w:r>
      <w:r w:rsidR="00147709">
        <w:rPr>
          <w:rFonts w:cs="Arial"/>
          <w:sz w:val="22"/>
          <w:szCs w:val="22"/>
        </w:rPr>
        <w:t xml:space="preserve">has been </w:t>
      </w:r>
      <w:r w:rsidR="00560FAA">
        <w:rPr>
          <w:rFonts w:cs="Arial"/>
          <w:sz w:val="22"/>
          <w:szCs w:val="22"/>
        </w:rPr>
        <w:t>circulated to al</w:t>
      </w:r>
      <w:r w:rsidR="00147709">
        <w:rPr>
          <w:rFonts w:cs="Arial"/>
          <w:sz w:val="22"/>
          <w:szCs w:val="22"/>
        </w:rPr>
        <w:t xml:space="preserve">l practices advising a start date </w:t>
      </w:r>
      <w:proofErr w:type="spellStart"/>
      <w:r w:rsidR="00147709">
        <w:rPr>
          <w:rFonts w:cs="Arial"/>
          <w:sz w:val="22"/>
          <w:szCs w:val="22"/>
        </w:rPr>
        <w:t>wef</w:t>
      </w:r>
      <w:proofErr w:type="spellEnd"/>
      <w:r w:rsidR="00147709">
        <w:rPr>
          <w:rFonts w:cs="Arial"/>
          <w:sz w:val="22"/>
          <w:szCs w:val="22"/>
        </w:rPr>
        <w:t xml:space="preserve"> Q2</w:t>
      </w:r>
      <w:r w:rsidR="00560FAA">
        <w:rPr>
          <w:rFonts w:cs="Arial"/>
          <w:sz w:val="22"/>
          <w:szCs w:val="22"/>
        </w:rPr>
        <w:t>.</w:t>
      </w:r>
    </w:p>
    <w:p w:rsidR="00E66841" w:rsidRPr="00E66841" w:rsidRDefault="00E66841" w:rsidP="00E66841">
      <w:pPr>
        <w:pStyle w:val="ListParagraph"/>
        <w:rPr>
          <w:rFonts w:cs="Arial"/>
          <w:b/>
          <w:sz w:val="22"/>
          <w:szCs w:val="22"/>
        </w:rPr>
      </w:pPr>
    </w:p>
    <w:p w:rsidR="000A427F" w:rsidRPr="00147709" w:rsidRDefault="00B330BE" w:rsidP="00147709">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sidRPr="00560FAA">
        <w:rPr>
          <w:rFonts w:cs="Arial"/>
          <w:b/>
          <w:sz w:val="22"/>
          <w:szCs w:val="22"/>
        </w:rPr>
        <w:t xml:space="preserve">Primary Care Exchange </w:t>
      </w:r>
      <w:r w:rsidR="00692F65" w:rsidRPr="00560FAA">
        <w:rPr>
          <w:rFonts w:cs="Arial"/>
          <w:sz w:val="22"/>
          <w:szCs w:val="22"/>
        </w:rPr>
        <w:t>–</w:t>
      </w:r>
      <w:r w:rsidRPr="00560FAA">
        <w:rPr>
          <w:rFonts w:cs="Arial"/>
          <w:sz w:val="22"/>
          <w:szCs w:val="22"/>
        </w:rPr>
        <w:t xml:space="preserve"> </w:t>
      </w:r>
      <w:r w:rsidR="00560FAA">
        <w:rPr>
          <w:rFonts w:cs="Arial"/>
          <w:sz w:val="22"/>
          <w:szCs w:val="22"/>
        </w:rPr>
        <w:t xml:space="preserve">Some Localities plan to develop a staff bank as part </w:t>
      </w:r>
      <w:r w:rsidR="00AE5B15">
        <w:rPr>
          <w:rFonts w:cs="Arial"/>
          <w:sz w:val="22"/>
          <w:szCs w:val="22"/>
        </w:rPr>
        <w:t xml:space="preserve">of their Transformation Plan.  </w:t>
      </w:r>
      <w:r w:rsidR="00147709">
        <w:rPr>
          <w:rFonts w:cs="Arial"/>
          <w:sz w:val="22"/>
          <w:szCs w:val="22"/>
        </w:rPr>
        <w:t>PCE could offer a solution.</w:t>
      </w:r>
    </w:p>
    <w:p w:rsidR="00147709" w:rsidRPr="00147709" w:rsidRDefault="00147709" w:rsidP="00147709">
      <w:pPr>
        <w:pStyle w:val="ListParagraph"/>
        <w:rPr>
          <w:rFonts w:cs="Arial"/>
          <w:b/>
          <w:sz w:val="22"/>
          <w:szCs w:val="22"/>
        </w:rPr>
      </w:pPr>
    </w:p>
    <w:p w:rsidR="00DE06B0" w:rsidRPr="00DE06B0" w:rsidRDefault="00F22563" w:rsidP="00AD4FAB">
      <w:pPr>
        <w:pStyle w:val="ListParagraph"/>
        <w:widowControl w:val="0"/>
        <w:numPr>
          <w:ilvl w:val="0"/>
          <w:numId w:val="1"/>
        </w:numPr>
        <w:tabs>
          <w:tab w:val="left" w:pos="220"/>
          <w:tab w:val="left" w:pos="720"/>
        </w:tabs>
        <w:autoSpaceDE w:val="0"/>
        <w:autoSpaceDN w:val="0"/>
        <w:adjustRightInd w:val="0"/>
        <w:rPr>
          <w:rFonts w:cs="Arial"/>
          <w:b/>
          <w:sz w:val="22"/>
          <w:szCs w:val="22"/>
        </w:rPr>
      </w:pPr>
      <w:r>
        <w:rPr>
          <w:rFonts w:cs="Arial"/>
          <w:b/>
          <w:sz w:val="22"/>
          <w:szCs w:val="22"/>
        </w:rPr>
        <w:t>Teaching A</w:t>
      </w:r>
      <w:r w:rsidR="000A427F">
        <w:rPr>
          <w:rFonts w:cs="Arial"/>
          <w:b/>
          <w:sz w:val="22"/>
          <w:szCs w:val="22"/>
        </w:rPr>
        <w:t xml:space="preserve">cademy – </w:t>
      </w:r>
      <w:r w:rsidR="00DE06B0">
        <w:rPr>
          <w:rFonts w:cs="Arial"/>
          <w:sz w:val="22"/>
          <w:szCs w:val="22"/>
        </w:rPr>
        <w:t xml:space="preserve">the notes from the meeting held in May 2018 are attached at </w:t>
      </w:r>
      <w:r w:rsidR="00DE06B0" w:rsidRPr="00DE06B0">
        <w:rPr>
          <w:rFonts w:cs="Arial"/>
          <w:b/>
          <w:sz w:val="22"/>
          <w:szCs w:val="22"/>
        </w:rPr>
        <w:t>appendix 2</w:t>
      </w:r>
      <w:r w:rsidR="00DE06B0">
        <w:rPr>
          <w:rFonts w:cs="Arial"/>
          <w:sz w:val="22"/>
          <w:szCs w:val="22"/>
        </w:rPr>
        <w:t xml:space="preserve"> which outline the main elements of the scheme. </w:t>
      </w:r>
    </w:p>
    <w:p w:rsidR="00DE06B0" w:rsidRPr="00DE06B0" w:rsidRDefault="00DE06B0" w:rsidP="00DE06B0">
      <w:pPr>
        <w:pStyle w:val="ListParagraph"/>
        <w:rPr>
          <w:rFonts w:cs="Arial"/>
          <w:sz w:val="22"/>
          <w:szCs w:val="22"/>
        </w:rPr>
      </w:pPr>
    </w:p>
    <w:p w:rsidR="00AE5B15" w:rsidRDefault="00DE06B0" w:rsidP="00DE06B0">
      <w:pPr>
        <w:widowControl w:val="0"/>
        <w:tabs>
          <w:tab w:val="left" w:pos="220"/>
          <w:tab w:val="left" w:pos="720"/>
        </w:tabs>
        <w:autoSpaceDE w:val="0"/>
        <w:autoSpaceDN w:val="0"/>
        <w:adjustRightInd w:val="0"/>
        <w:ind w:left="220"/>
        <w:rPr>
          <w:rFonts w:cs="Arial"/>
          <w:sz w:val="22"/>
          <w:szCs w:val="22"/>
        </w:rPr>
      </w:pPr>
      <w:r>
        <w:rPr>
          <w:rFonts w:cs="Arial"/>
          <w:sz w:val="22"/>
          <w:szCs w:val="22"/>
        </w:rPr>
        <w:t xml:space="preserve">We held a follow-up meeting in June and will have a follow-up meeting with University in July 2018.  </w:t>
      </w:r>
      <w:r w:rsidR="00AE5B15">
        <w:rPr>
          <w:rFonts w:cs="Arial"/>
          <w:sz w:val="22"/>
          <w:szCs w:val="22"/>
        </w:rPr>
        <w:t>It was agreed that a realistic target for the Federation Academy will be to take 3</w:t>
      </w:r>
      <w:r w:rsidR="00AE5B15" w:rsidRPr="00AE5B15">
        <w:rPr>
          <w:rFonts w:cs="Arial"/>
          <w:sz w:val="22"/>
          <w:szCs w:val="22"/>
          <w:vertAlign w:val="superscript"/>
        </w:rPr>
        <w:t>rd</w:t>
      </w:r>
      <w:r w:rsidR="00AE5B15">
        <w:rPr>
          <w:rFonts w:cs="Arial"/>
          <w:sz w:val="22"/>
          <w:szCs w:val="22"/>
        </w:rPr>
        <w:t xml:space="preserve"> year students in January 2019 and potentially 5</w:t>
      </w:r>
      <w:r w:rsidR="00AE5B15" w:rsidRPr="00AE5B15">
        <w:rPr>
          <w:rFonts w:cs="Arial"/>
          <w:sz w:val="22"/>
          <w:szCs w:val="22"/>
          <w:vertAlign w:val="superscript"/>
        </w:rPr>
        <w:t>th</w:t>
      </w:r>
      <w:r w:rsidR="00AE5B15">
        <w:rPr>
          <w:rFonts w:cs="Arial"/>
          <w:sz w:val="22"/>
          <w:szCs w:val="22"/>
        </w:rPr>
        <w:t xml:space="preserve"> year students in February 2019.</w:t>
      </w:r>
    </w:p>
    <w:p w:rsidR="00AD4FAB" w:rsidRDefault="00AD4FAB" w:rsidP="00AD4FAB">
      <w:pPr>
        <w:widowControl w:val="0"/>
        <w:tabs>
          <w:tab w:val="left" w:pos="220"/>
          <w:tab w:val="left" w:pos="720"/>
        </w:tabs>
        <w:autoSpaceDE w:val="0"/>
        <w:autoSpaceDN w:val="0"/>
        <w:adjustRightInd w:val="0"/>
        <w:ind w:left="220"/>
        <w:rPr>
          <w:rFonts w:cs="Arial"/>
          <w:sz w:val="22"/>
          <w:szCs w:val="22"/>
        </w:rPr>
      </w:pPr>
    </w:p>
    <w:p w:rsidR="0008448F" w:rsidRDefault="00566446" w:rsidP="00AD4FAB">
      <w:pPr>
        <w:widowControl w:val="0"/>
        <w:tabs>
          <w:tab w:val="left" w:pos="220"/>
          <w:tab w:val="left" w:pos="720"/>
        </w:tabs>
        <w:autoSpaceDE w:val="0"/>
        <w:autoSpaceDN w:val="0"/>
        <w:adjustRightInd w:val="0"/>
        <w:ind w:left="220"/>
        <w:rPr>
          <w:rFonts w:cs="Arial"/>
          <w:sz w:val="22"/>
          <w:szCs w:val="22"/>
        </w:rPr>
      </w:pPr>
      <w:r>
        <w:rPr>
          <w:rFonts w:cs="Arial"/>
          <w:sz w:val="22"/>
          <w:szCs w:val="22"/>
        </w:rPr>
        <w:t xml:space="preserve">The administrator of the South Leicestershire Academy (Julie Bentley) has agreed to work for the Federation Academy.  </w:t>
      </w:r>
    </w:p>
    <w:p w:rsidR="00566446" w:rsidRPr="00566446" w:rsidRDefault="0008448F" w:rsidP="0008448F">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GDPR </w:t>
      </w:r>
      <w:r w:rsidR="00566446" w:rsidRPr="00566446">
        <w:rPr>
          <w:rFonts w:cs="Arial"/>
          <w:b/>
          <w:sz w:val="22"/>
          <w:szCs w:val="22"/>
        </w:rPr>
        <w:t>– DPO service</w:t>
      </w:r>
    </w:p>
    <w:p w:rsidR="00566446" w:rsidRPr="00566446" w:rsidRDefault="002F0E52"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 xml:space="preserve">We have developed a Federation approach to providing a DPO service for practices which is summarized below.  </w:t>
      </w:r>
    </w:p>
    <w:p w:rsidR="00566446" w:rsidRPr="00566446" w:rsidRDefault="00566446"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 xml:space="preserve">Over 25 </w:t>
      </w:r>
      <w:r w:rsidR="002F0E52">
        <w:rPr>
          <w:rFonts w:cs="Arial"/>
          <w:sz w:val="22"/>
          <w:szCs w:val="22"/>
        </w:rPr>
        <w:t xml:space="preserve">practices have </w:t>
      </w:r>
      <w:r>
        <w:rPr>
          <w:rFonts w:cs="Arial"/>
          <w:sz w:val="22"/>
          <w:szCs w:val="22"/>
        </w:rPr>
        <w:t xml:space="preserve">now signed up to the scheme.  </w:t>
      </w:r>
    </w:p>
    <w:p w:rsidR="00566446" w:rsidRPr="00566446" w:rsidRDefault="00566446"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 xml:space="preserve">LMC Law are checking the contract </w:t>
      </w:r>
    </w:p>
    <w:p w:rsidR="00566446" w:rsidRPr="00566446" w:rsidRDefault="00566446"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 xml:space="preserve">Practices have been charged 50% of the proposed fee.  </w:t>
      </w:r>
    </w:p>
    <w:p w:rsidR="00566446" w:rsidRPr="00566446" w:rsidRDefault="00566446"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We will keep the resources required to deliver the service under review.</w:t>
      </w:r>
    </w:p>
    <w:p w:rsidR="00933D0E" w:rsidRDefault="00933D0E" w:rsidP="002F0E52">
      <w:pPr>
        <w:ind w:left="720"/>
        <w:outlineLvl w:val="0"/>
        <w:rPr>
          <w:rFonts w:eastAsia="Times New Roman" w:cs="Arial"/>
          <w:b/>
          <w:bCs/>
          <w:i/>
          <w:color w:val="444444"/>
          <w:kern w:val="36"/>
          <w:sz w:val="22"/>
          <w:szCs w:val="22"/>
          <w:lang w:val="en-GB" w:eastAsia="en-GB"/>
        </w:rPr>
      </w:pPr>
    </w:p>
    <w:p w:rsidR="00933D0E" w:rsidRPr="00566446" w:rsidRDefault="00933D0E" w:rsidP="00566446">
      <w:pPr>
        <w:pStyle w:val="ListParagraph"/>
        <w:numPr>
          <w:ilvl w:val="0"/>
          <w:numId w:val="1"/>
        </w:numPr>
        <w:rPr>
          <w:rFonts w:eastAsia="Times New Roman" w:cs="Helvetica"/>
          <w:b/>
          <w:color w:val="333333"/>
          <w:sz w:val="22"/>
          <w:szCs w:val="22"/>
          <w:lang w:val="en-GB" w:eastAsia="en-GB"/>
        </w:rPr>
      </w:pPr>
      <w:r w:rsidRPr="00566446">
        <w:rPr>
          <w:rFonts w:eastAsia="Times New Roman" w:cs="Helvetica"/>
          <w:b/>
          <w:color w:val="333333"/>
          <w:sz w:val="22"/>
          <w:szCs w:val="22"/>
          <w:lang w:val="en-GB" w:eastAsia="en-GB"/>
        </w:rPr>
        <w:t>Communications update</w:t>
      </w:r>
    </w:p>
    <w:p w:rsidR="00933D0E" w:rsidRPr="00310FDF" w:rsidRDefault="00933D0E" w:rsidP="00566446">
      <w:pPr>
        <w:ind w:left="360"/>
        <w:rPr>
          <w:rFonts w:eastAsia="Times New Roman" w:cs="Times New Roman"/>
          <w:color w:val="333333"/>
          <w:sz w:val="22"/>
          <w:szCs w:val="22"/>
          <w:lang w:val="en-GB" w:eastAsia="en-GB"/>
        </w:rPr>
      </w:pPr>
      <w:r w:rsidRPr="00310FDF">
        <w:rPr>
          <w:rFonts w:eastAsia="Times New Roman" w:cs="Arial"/>
          <w:bCs/>
          <w:iCs/>
          <w:color w:val="333333"/>
          <w:sz w:val="22"/>
          <w:szCs w:val="22"/>
          <w:lang w:val="en-GB" w:eastAsia="en-GB"/>
        </w:rPr>
        <w:t xml:space="preserve">We </w:t>
      </w:r>
      <w:r w:rsidR="00972ADA" w:rsidRPr="00972ADA">
        <w:rPr>
          <w:rFonts w:eastAsia="Times New Roman" w:cs="Arial"/>
          <w:bCs/>
          <w:iCs/>
          <w:color w:val="333333"/>
          <w:sz w:val="22"/>
          <w:szCs w:val="22"/>
          <w:lang w:val="en-GB" w:eastAsia="en-GB"/>
        </w:rPr>
        <w:t xml:space="preserve">are working with </w:t>
      </w:r>
      <w:r w:rsidRPr="00310FDF">
        <w:rPr>
          <w:rFonts w:eastAsia="Times New Roman" w:cs="Arial"/>
          <w:bCs/>
          <w:iCs/>
          <w:color w:val="333333"/>
          <w:sz w:val="22"/>
          <w:szCs w:val="22"/>
          <w:lang w:val="en-GB" w:eastAsia="en-GB"/>
        </w:rPr>
        <w:t>Rutland Healthcare and the</w:t>
      </w:r>
      <w:r w:rsidR="00972ADA" w:rsidRPr="00972ADA">
        <w:rPr>
          <w:rFonts w:eastAsia="Times New Roman" w:cs="Arial"/>
          <w:bCs/>
          <w:iCs/>
          <w:color w:val="333333"/>
          <w:sz w:val="22"/>
          <w:szCs w:val="22"/>
          <w:lang w:val="en-GB" w:eastAsia="en-GB"/>
        </w:rPr>
        <w:t xml:space="preserve"> South</w:t>
      </w:r>
      <w:r w:rsidRPr="00310FDF">
        <w:rPr>
          <w:rFonts w:eastAsia="Times New Roman" w:cs="Arial"/>
          <w:bCs/>
          <w:iCs/>
          <w:color w:val="333333"/>
          <w:sz w:val="22"/>
          <w:szCs w:val="22"/>
          <w:lang w:val="en-GB" w:eastAsia="en-GB"/>
        </w:rPr>
        <w:t xml:space="preserve"> Blaby </w:t>
      </w:r>
      <w:r w:rsidR="00972ADA" w:rsidRPr="00972ADA">
        <w:rPr>
          <w:rFonts w:eastAsia="Times New Roman" w:cs="Arial"/>
          <w:bCs/>
          <w:iCs/>
          <w:color w:val="333333"/>
          <w:sz w:val="22"/>
          <w:szCs w:val="22"/>
          <w:lang w:val="en-GB" w:eastAsia="en-GB"/>
        </w:rPr>
        <w:t xml:space="preserve">/ </w:t>
      </w:r>
      <w:proofErr w:type="spellStart"/>
      <w:r w:rsidR="00972ADA" w:rsidRPr="00972ADA">
        <w:rPr>
          <w:rFonts w:eastAsia="Times New Roman" w:cs="Arial"/>
          <w:bCs/>
          <w:iCs/>
          <w:color w:val="333333"/>
          <w:sz w:val="22"/>
          <w:szCs w:val="22"/>
          <w:lang w:val="en-GB" w:eastAsia="en-GB"/>
        </w:rPr>
        <w:t>Lutterworth</w:t>
      </w:r>
      <w:proofErr w:type="spellEnd"/>
      <w:r w:rsidR="00972ADA" w:rsidRPr="00972ADA">
        <w:rPr>
          <w:rFonts w:eastAsia="Times New Roman" w:cs="Arial"/>
          <w:bCs/>
          <w:iCs/>
          <w:color w:val="333333"/>
          <w:sz w:val="22"/>
          <w:szCs w:val="22"/>
          <w:lang w:val="en-GB" w:eastAsia="en-GB"/>
        </w:rPr>
        <w:t xml:space="preserve"> Hub on their </w:t>
      </w:r>
      <w:r w:rsidRPr="00310FDF">
        <w:rPr>
          <w:rFonts w:eastAsia="Times New Roman" w:cs="Arial"/>
          <w:bCs/>
          <w:iCs/>
          <w:color w:val="333333"/>
          <w:sz w:val="22"/>
          <w:szCs w:val="22"/>
          <w:lang w:val="en-GB" w:eastAsia="en-GB"/>
        </w:rPr>
        <w:t xml:space="preserve">Transformation Fund </w:t>
      </w:r>
      <w:r w:rsidR="00972ADA" w:rsidRPr="00972ADA">
        <w:rPr>
          <w:rFonts w:eastAsia="Times New Roman" w:cs="Arial"/>
          <w:bCs/>
          <w:iCs/>
          <w:color w:val="333333"/>
          <w:sz w:val="22"/>
          <w:szCs w:val="22"/>
          <w:lang w:val="en-GB" w:eastAsia="en-GB"/>
        </w:rPr>
        <w:t xml:space="preserve">pilot </w:t>
      </w:r>
      <w:r w:rsidRPr="00310FDF">
        <w:rPr>
          <w:rFonts w:eastAsia="Times New Roman" w:cs="Arial"/>
          <w:bCs/>
          <w:iCs/>
          <w:color w:val="333333"/>
          <w:sz w:val="22"/>
          <w:szCs w:val="22"/>
          <w:lang w:val="en-GB" w:eastAsia="en-GB"/>
        </w:rPr>
        <w:t xml:space="preserve">schemes </w:t>
      </w:r>
      <w:r w:rsidR="00972ADA" w:rsidRPr="00972ADA">
        <w:rPr>
          <w:rFonts w:eastAsia="Times New Roman" w:cs="Arial"/>
          <w:bCs/>
          <w:iCs/>
          <w:color w:val="333333"/>
          <w:sz w:val="22"/>
          <w:szCs w:val="22"/>
          <w:lang w:val="en-GB" w:eastAsia="en-GB"/>
        </w:rPr>
        <w:t xml:space="preserve">to </w:t>
      </w:r>
      <w:r w:rsidRPr="00310FDF">
        <w:rPr>
          <w:rFonts w:eastAsia="Times New Roman" w:cs="Arial"/>
          <w:bCs/>
          <w:iCs/>
          <w:color w:val="333333"/>
          <w:sz w:val="22"/>
          <w:szCs w:val="22"/>
          <w:lang w:val="en-GB" w:eastAsia="en-GB"/>
        </w:rPr>
        <w:t>develop hub level web portal, integrated with social media and e-marketing approaches.</w:t>
      </w:r>
      <w:r w:rsidR="00972ADA" w:rsidRPr="00972ADA">
        <w:rPr>
          <w:rFonts w:eastAsia="Times New Roman" w:cs="Arial"/>
          <w:bCs/>
          <w:iCs/>
          <w:color w:val="333333"/>
          <w:sz w:val="22"/>
          <w:szCs w:val="22"/>
          <w:lang w:val="en-GB" w:eastAsia="en-GB"/>
        </w:rPr>
        <w:t xml:space="preserve">  </w:t>
      </w:r>
      <w:r w:rsidR="00C17B86">
        <w:rPr>
          <w:rFonts w:eastAsia="Times New Roman" w:cs="Arial"/>
          <w:bCs/>
          <w:iCs/>
          <w:color w:val="333333"/>
          <w:sz w:val="22"/>
          <w:szCs w:val="22"/>
          <w:lang w:val="en-GB" w:eastAsia="en-GB"/>
        </w:rPr>
        <w:t>The aim of the pilots is</w:t>
      </w:r>
      <w:r w:rsidR="00972ADA" w:rsidRPr="00972ADA">
        <w:rPr>
          <w:rFonts w:eastAsia="Times New Roman" w:cs="Arial"/>
          <w:bCs/>
          <w:iCs/>
          <w:color w:val="333333"/>
          <w:sz w:val="22"/>
          <w:szCs w:val="22"/>
          <w:lang w:val="en-GB" w:eastAsia="en-GB"/>
        </w:rPr>
        <w:t xml:space="preserve"> to;</w:t>
      </w:r>
    </w:p>
    <w:p w:rsidR="00933D0E" w:rsidRPr="00310FDF" w:rsidRDefault="00972ADA" w:rsidP="00566446">
      <w:pPr>
        <w:numPr>
          <w:ilvl w:val="0"/>
          <w:numId w:val="36"/>
        </w:numPr>
        <w:tabs>
          <w:tab w:val="clear" w:pos="720"/>
          <w:tab w:val="num" w:pos="1080"/>
        </w:tabs>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Build and operate two</w:t>
      </w:r>
      <w:r w:rsidR="00933D0E" w:rsidRPr="00310FDF">
        <w:rPr>
          <w:rFonts w:eastAsia="Times New Roman" w:cs="Arial"/>
          <w:bCs/>
          <w:iCs/>
          <w:color w:val="333333"/>
          <w:sz w:val="22"/>
          <w:szCs w:val="22"/>
          <w:lang w:val="en-GB" w:eastAsia="en-GB"/>
        </w:rPr>
        <w:t xml:space="preserve"> ‘proof of concept’ web portals, able to interact with individual member practice websites to lessen the burden and reduce the duplication for individual practices in providing core medical advice and ‘active signposting’ advice to patients</w:t>
      </w:r>
    </w:p>
    <w:p w:rsidR="00933D0E" w:rsidRPr="00310FDF" w:rsidRDefault="00972ADA" w:rsidP="00566446">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lastRenderedPageBreak/>
        <w:t>E</w:t>
      </w:r>
      <w:r w:rsidR="00933D0E" w:rsidRPr="00310FDF">
        <w:rPr>
          <w:rFonts w:eastAsia="Times New Roman" w:cs="Arial"/>
          <w:bCs/>
          <w:iCs/>
          <w:color w:val="333333"/>
          <w:sz w:val="22"/>
          <w:szCs w:val="22"/>
          <w:lang w:val="en-GB" w:eastAsia="en-GB"/>
        </w:rPr>
        <w:t>nable the individual practices to supply practice-specific information and advice into the hub level portal</w:t>
      </w:r>
    </w:p>
    <w:p w:rsidR="00933D0E" w:rsidRPr="00310FDF" w:rsidRDefault="00972ADA" w:rsidP="00566446">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P</w:t>
      </w:r>
      <w:r w:rsidR="00933D0E" w:rsidRPr="00310FDF">
        <w:rPr>
          <w:rFonts w:eastAsia="Times New Roman" w:cs="Arial"/>
          <w:bCs/>
          <w:iCs/>
          <w:color w:val="333333"/>
          <w:sz w:val="22"/>
          <w:szCs w:val="22"/>
          <w:lang w:val="en-GB" w:eastAsia="en-GB"/>
        </w:rPr>
        <w:t>rovide live, automated 2-way content sharing between the practice websites and the web portal</w:t>
      </w:r>
    </w:p>
    <w:p w:rsidR="00933D0E" w:rsidRPr="00310FDF" w:rsidRDefault="00972ADA" w:rsidP="00566446">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I</w:t>
      </w:r>
      <w:r w:rsidR="00933D0E" w:rsidRPr="00310FDF">
        <w:rPr>
          <w:rFonts w:eastAsia="Times New Roman" w:cs="Arial"/>
          <w:bCs/>
          <w:iCs/>
          <w:color w:val="333333"/>
          <w:sz w:val="22"/>
          <w:szCs w:val="22"/>
          <w:lang w:val="en-GB" w:eastAsia="en-GB"/>
        </w:rPr>
        <w:t>ntegrate the portals with social media and e-marketing, to maximise channels of communication and engagement with as wide a range as possible of local patients and stakeholders</w:t>
      </w:r>
    </w:p>
    <w:p w:rsidR="00933D0E" w:rsidRPr="00310FDF" w:rsidRDefault="00972ADA" w:rsidP="00566446">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H</w:t>
      </w:r>
      <w:r w:rsidR="00933D0E" w:rsidRPr="00310FDF">
        <w:rPr>
          <w:rFonts w:eastAsia="Times New Roman" w:cs="Arial"/>
          <w:bCs/>
          <w:iCs/>
          <w:color w:val="333333"/>
          <w:sz w:val="22"/>
          <w:szCs w:val="22"/>
          <w:lang w:val="en-GB" w:eastAsia="en-GB"/>
        </w:rPr>
        <w:t>arness specialist social media and web tools to build audiences and engaging content and, thereby, to maximise the impact and usage of the portal, social media and e-marketing solutions</w:t>
      </w:r>
    </w:p>
    <w:p w:rsidR="00933D0E" w:rsidRPr="00310FDF" w:rsidRDefault="00BD5C41" w:rsidP="00566446">
      <w:pPr>
        <w:spacing w:before="100" w:beforeAutospacing="1" w:after="100" w:afterAutospacing="1"/>
        <w:ind w:left="360"/>
        <w:rPr>
          <w:rFonts w:eastAsia="Times New Roman" w:cs="Times New Roman"/>
          <w:color w:val="333333"/>
          <w:sz w:val="22"/>
          <w:szCs w:val="22"/>
          <w:lang w:val="en-GB" w:eastAsia="en-GB"/>
        </w:rPr>
      </w:pPr>
      <w:r>
        <w:rPr>
          <w:rFonts w:eastAsia="Times New Roman" w:cs="Arial"/>
          <w:bCs/>
          <w:iCs/>
          <w:color w:val="333333"/>
          <w:sz w:val="22"/>
          <w:szCs w:val="22"/>
          <w:lang w:val="en-GB" w:eastAsia="en-GB"/>
        </w:rPr>
        <w:t>As par</w:t>
      </w:r>
      <w:r w:rsidR="007C1AA6">
        <w:rPr>
          <w:rFonts w:eastAsia="Times New Roman" w:cs="Arial"/>
          <w:bCs/>
          <w:iCs/>
          <w:color w:val="333333"/>
          <w:sz w:val="22"/>
          <w:szCs w:val="22"/>
          <w:lang w:val="en-GB" w:eastAsia="en-GB"/>
        </w:rPr>
        <w:t>t of their Transformation Plans; f</w:t>
      </w:r>
      <w:r w:rsidR="00933D0E" w:rsidRPr="00310FDF">
        <w:rPr>
          <w:rFonts w:eastAsia="Times New Roman" w:cs="Arial"/>
          <w:bCs/>
          <w:iCs/>
          <w:color w:val="333333"/>
          <w:sz w:val="22"/>
          <w:szCs w:val="22"/>
          <w:lang w:val="en-GB" w:eastAsia="en-GB"/>
        </w:rPr>
        <w:t xml:space="preserve">our Localities (Harborough, Rutland, </w:t>
      </w:r>
      <w:proofErr w:type="spellStart"/>
      <w:r w:rsidR="00933D0E" w:rsidRPr="00310FDF">
        <w:rPr>
          <w:rFonts w:eastAsia="Times New Roman" w:cs="Arial"/>
          <w:bCs/>
          <w:iCs/>
          <w:color w:val="333333"/>
          <w:sz w:val="22"/>
          <w:szCs w:val="22"/>
          <w:lang w:val="en-GB" w:eastAsia="en-GB"/>
        </w:rPr>
        <w:t>Oadby</w:t>
      </w:r>
      <w:proofErr w:type="spellEnd"/>
      <w:r w:rsidR="00933D0E" w:rsidRPr="00310FDF">
        <w:rPr>
          <w:rFonts w:eastAsia="Times New Roman" w:cs="Arial"/>
          <w:bCs/>
          <w:iCs/>
          <w:color w:val="333333"/>
          <w:sz w:val="22"/>
          <w:szCs w:val="22"/>
          <w:lang w:val="en-GB" w:eastAsia="en-GB"/>
        </w:rPr>
        <w:t xml:space="preserve"> &amp; </w:t>
      </w:r>
      <w:proofErr w:type="spellStart"/>
      <w:r w:rsidR="00933D0E" w:rsidRPr="00310FDF">
        <w:rPr>
          <w:rFonts w:eastAsia="Times New Roman" w:cs="Arial"/>
          <w:bCs/>
          <w:iCs/>
          <w:color w:val="333333"/>
          <w:sz w:val="22"/>
          <w:szCs w:val="22"/>
          <w:lang w:val="en-GB" w:eastAsia="en-GB"/>
        </w:rPr>
        <w:t>Wigston</w:t>
      </w:r>
      <w:proofErr w:type="spellEnd"/>
      <w:r w:rsidR="00933D0E" w:rsidRPr="00310FDF">
        <w:rPr>
          <w:rFonts w:eastAsia="Times New Roman" w:cs="Arial"/>
          <w:bCs/>
          <w:iCs/>
          <w:color w:val="333333"/>
          <w:sz w:val="22"/>
          <w:szCs w:val="22"/>
          <w:lang w:val="en-GB" w:eastAsia="en-GB"/>
        </w:rPr>
        <w:t xml:space="preserve"> and SLAM) </w:t>
      </w:r>
      <w:r>
        <w:rPr>
          <w:rFonts w:eastAsia="Times New Roman" w:cs="Arial"/>
          <w:bCs/>
          <w:iCs/>
          <w:color w:val="333333"/>
          <w:sz w:val="22"/>
          <w:szCs w:val="22"/>
          <w:lang w:val="en-GB" w:eastAsia="en-GB"/>
        </w:rPr>
        <w:t xml:space="preserve">plan to </w:t>
      </w:r>
      <w:r w:rsidR="00933D0E" w:rsidRPr="00310FDF">
        <w:rPr>
          <w:rFonts w:eastAsia="Times New Roman" w:cs="Arial"/>
          <w:bCs/>
          <w:iCs/>
          <w:color w:val="333333"/>
          <w:sz w:val="22"/>
          <w:szCs w:val="22"/>
          <w:lang w:val="en-GB" w:eastAsia="en-GB"/>
        </w:rPr>
        <w:t>implement an information sharing tool to assist with joint work</w:t>
      </w:r>
      <w:r w:rsidR="007C1AA6">
        <w:rPr>
          <w:rFonts w:eastAsia="Times New Roman" w:cs="Arial"/>
          <w:bCs/>
          <w:iCs/>
          <w:color w:val="333333"/>
          <w:sz w:val="22"/>
          <w:szCs w:val="22"/>
          <w:lang w:val="en-GB" w:eastAsia="en-GB"/>
        </w:rPr>
        <w:t xml:space="preserve">ing, sharing information etc.  </w:t>
      </w:r>
      <w:proofErr w:type="spellStart"/>
      <w:r w:rsidR="00933D0E" w:rsidRPr="00310FDF">
        <w:rPr>
          <w:rFonts w:eastAsia="Times New Roman" w:cs="Arial"/>
          <w:bCs/>
          <w:iCs/>
          <w:color w:val="333333"/>
          <w:sz w:val="22"/>
          <w:szCs w:val="22"/>
          <w:lang w:val="en-GB" w:eastAsia="en-GB"/>
        </w:rPr>
        <w:t>GPTeamNet</w:t>
      </w:r>
      <w:proofErr w:type="spellEnd"/>
      <w:r w:rsidR="00933D0E" w:rsidRPr="00310FDF">
        <w:rPr>
          <w:rFonts w:eastAsia="Times New Roman" w:cs="Arial"/>
          <w:bCs/>
          <w:iCs/>
          <w:color w:val="333333"/>
          <w:sz w:val="22"/>
          <w:szCs w:val="22"/>
          <w:lang w:val="en-GB" w:eastAsia="en-GB"/>
        </w:rPr>
        <w:t xml:space="preserve"> had been identified as an option and a </w:t>
      </w:r>
      <w:r w:rsidR="0056174D">
        <w:rPr>
          <w:rFonts w:eastAsia="Times New Roman" w:cs="Arial"/>
          <w:bCs/>
          <w:iCs/>
          <w:color w:val="333333"/>
          <w:sz w:val="22"/>
          <w:szCs w:val="22"/>
          <w:lang w:val="en-GB" w:eastAsia="en-GB"/>
        </w:rPr>
        <w:t xml:space="preserve">demonstration / </w:t>
      </w:r>
      <w:r w:rsidR="00933D0E" w:rsidRPr="00310FDF">
        <w:rPr>
          <w:rFonts w:eastAsia="Times New Roman" w:cs="Arial"/>
          <w:bCs/>
          <w:iCs/>
          <w:color w:val="333333"/>
          <w:sz w:val="22"/>
          <w:szCs w:val="22"/>
          <w:lang w:val="en-GB" w:eastAsia="en-GB"/>
        </w:rPr>
        <w:t xml:space="preserve">meeting was held between practices and </w:t>
      </w:r>
      <w:proofErr w:type="spellStart"/>
      <w:r w:rsidR="00933D0E" w:rsidRPr="00310FDF">
        <w:rPr>
          <w:rFonts w:eastAsia="Times New Roman" w:cs="Arial"/>
          <w:bCs/>
          <w:iCs/>
          <w:color w:val="333333"/>
          <w:sz w:val="22"/>
          <w:szCs w:val="22"/>
          <w:lang w:val="en-GB" w:eastAsia="en-GB"/>
        </w:rPr>
        <w:t>GPTeamNet</w:t>
      </w:r>
      <w:proofErr w:type="spellEnd"/>
      <w:r w:rsidR="00933D0E" w:rsidRPr="00310FDF">
        <w:rPr>
          <w:rFonts w:eastAsia="Times New Roman" w:cs="Arial"/>
          <w:bCs/>
          <w:iCs/>
          <w:color w:val="333333"/>
          <w:sz w:val="22"/>
          <w:szCs w:val="22"/>
          <w:lang w:val="en-GB" w:eastAsia="en-GB"/>
        </w:rPr>
        <w:t xml:space="preserve"> to explore the benefits of the product.</w:t>
      </w:r>
      <w:r w:rsidR="007C1AA6">
        <w:rPr>
          <w:rFonts w:eastAsia="Times New Roman" w:cs="Arial"/>
          <w:bCs/>
          <w:iCs/>
          <w:color w:val="333333"/>
          <w:sz w:val="22"/>
          <w:szCs w:val="22"/>
          <w:lang w:val="en-GB" w:eastAsia="en-GB"/>
        </w:rPr>
        <w:t xml:space="preserve">  </w:t>
      </w:r>
    </w:p>
    <w:p w:rsidR="007C1AA6" w:rsidRDefault="007C1AA6" w:rsidP="00566446">
      <w:pPr>
        <w:spacing w:before="100" w:beforeAutospacing="1" w:after="100" w:afterAutospacing="1"/>
        <w:ind w:left="36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Joe has talked with </w:t>
      </w:r>
      <w:proofErr w:type="spellStart"/>
      <w:r w:rsidR="00933D0E" w:rsidRPr="00310FDF">
        <w:rPr>
          <w:rFonts w:eastAsia="Times New Roman" w:cs="Arial"/>
          <w:bCs/>
          <w:iCs/>
          <w:color w:val="333333"/>
          <w:sz w:val="22"/>
          <w:szCs w:val="22"/>
          <w:lang w:val="en-GB" w:eastAsia="en-GB"/>
        </w:rPr>
        <w:t>GPTeamNet</w:t>
      </w:r>
      <w:proofErr w:type="spellEnd"/>
      <w:r w:rsidR="00933D0E" w:rsidRPr="00310FDF">
        <w:rPr>
          <w:rFonts w:eastAsia="Times New Roman" w:cs="Arial"/>
          <w:bCs/>
          <w:iCs/>
          <w:color w:val="333333"/>
          <w:sz w:val="22"/>
          <w:szCs w:val="22"/>
          <w:lang w:val="en-GB" w:eastAsia="en-GB"/>
        </w:rPr>
        <w:t xml:space="preserve"> </w:t>
      </w:r>
      <w:r>
        <w:rPr>
          <w:rFonts w:eastAsia="Times New Roman" w:cs="Arial"/>
          <w:bCs/>
          <w:iCs/>
          <w:color w:val="333333"/>
          <w:sz w:val="22"/>
          <w:szCs w:val="22"/>
          <w:lang w:val="en-GB" w:eastAsia="en-GB"/>
        </w:rPr>
        <w:t xml:space="preserve">about the possibility of collaborating </w:t>
      </w:r>
      <w:r w:rsidR="00933D0E" w:rsidRPr="00310FDF">
        <w:rPr>
          <w:rFonts w:eastAsia="Times New Roman" w:cs="Arial"/>
          <w:bCs/>
          <w:iCs/>
          <w:color w:val="333333"/>
          <w:sz w:val="22"/>
          <w:szCs w:val="22"/>
          <w:lang w:val="en-GB" w:eastAsia="en-GB"/>
        </w:rPr>
        <w:t>to provide a complete end-t</w:t>
      </w:r>
      <w:r>
        <w:rPr>
          <w:rFonts w:eastAsia="Times New Roman" w:cs="Arial"/>
          <w:bCs/>
          <w:iCs/>
          <w:color w:val="333333"/>
          <w:sz w:val="22"/>
          <w:szCs w:val="22"/>
          <w:lang w:val="en-GB" w:eastAsia="en-GB"/>
        </w:rPr>
        <w:t xml:space="preserve">o-end solution for practices; where </w:t>
      </w:r>
      <w:proofErr w:type="spellStart"/>
      <w:r>
        <w:rPr>
          <w:rFonts w:eastAsia="Times New Roman" w:cs="Arial"/>
          <w:bCs/>
          <w:iCs/>
          <w:color w:val="333333"/>
          <w:sz w:val="22"/>
          <w:szCs w:val="22"/>
          <w:lang w:val="en-GB" w:eastAsia="en-GB"/>
        </w:rPr>
        <w:t>GPTeamNet</w:t>
      </w:r>
      <w:proofErr w:type="spellEnd"/>
      <w:r>
        <w:rPr>
          <w:rFonts w:eastAsia="Times New Roman" w:cs="Arial"/>
          <w:bCs/>
          <w:iCs/>
          <w:color w:val="333333"/>
          <w:sz w:val="22"/>
          <w:szCs w:val="22"/>
          <w:lang w:val="en-GB" w:eastAsia="en-GB"/>
        </w:rPr>
        <w:t xml:space="preserve"> supports</w:t>
      </w:r>
      <w:r w:rsidR="00933D0E" w:rsidRPr="00310FDF">
        <w:rPr>
          <w:rFonts w:eastAsia="Times New Roman" w:cs="Arial"/>
          <w:bCs/>
          <w:iCs/>
          <w:color w:val="333333"/>
          <w:sz w:val="22"/>
          <w:szCs w:val="22"/>
          <w:lang w:val="en-GB" w:eastAsia="en-GB"/>
        </w:rPr>
        <w:t xml:space="preserve"> core practice level business operations </w:t>
      </w:r>
      <w:r>
        <w:rPr>
          <w:rFonts w:eastAsia="Times New Roman" w:cs="Arial"/>
          <w:bCs/>
          <w:iCs/>
          <w:color w:val="333333"/>
          <w:sz w:val="22"/>
          <w:szCs w:val="22"/>
          <w:lang w:val="en-GB" w:eastAsia="en-GB"/>
        </w:rPr>
        <w:t xml:space="preserve">/ information sharing and the Hub based </w:t>
      </w:r>
      <w:r w:rsidR="00933D0E" w:rsidRPr="00310FDF">
        <w:rPr>
          <w:rFonts w:eastAsia="Times New Roman" w:cs="Arial"/>
          <w:bCs/>
          <w:iCs/>
          <w:color w:val="333333"/>
          <w:sz w:val="22"/>
          <w:szCs w:val="22"/>
          <w:lang w:val="en-GB" w:eastAsia="en-GB"/>
        </w:rPr>
        <w:t xml:space="preserve">pilot </w:t>
      </w:r>
      <w:r>
        <w:rPr>
          <w:rFonts w:eastAsia="Times New Roman" w:cs="Arial"/>
          <w:bCs/>
          <w:iCs/>
          <w:color w:val="333333"/>
          <w:sz w:val="22"/>
          <w:szCs w:val="22"/>
          <w:lang w:val="en-GB" w:eastAsia="en-GB"/>
        </w:rPr>
        <w:t xml:space="preserve">integrating the external facing digital media, including social media and e-newsletters to interact effectively with patients.  </w:t>
      </w:r>
    </w:p>
    <w:p w:rsidR="007C1AA6" w:rsidRDefault="00933D0E" w:rsidP="00566446">
      <w:pPr>
        <w:spacing w:before="100" w:beforeAutospacing="1" w:after="100" w:afterAutospacing="1"/>
        <w:ind w:left="360"/>
        <w:rPr>
          <w:rFonts w:eastAsia="Times New Roman" w:cs="Arial"/>
          <w:bCs/>
          <w:iCs/>
          <w:color w:val="333333"/>
          <w:sz w:val="22"/>
          <w:szCs w:val="22"/>
          <w:lang w:val="en-GB" w:eastAsia="en-GB"/>
        </w:rPr>
      </w:pPr>
      <w:r w:rsidRPr="00310FDF">
        <w:rPr>
          <w:rFonts w:eastAsia="Times New Roman" w:cs="Arial"/>
          <w:bCs/>
          <w:iCs/>
          <w:color w:val="333333"/>
          <w:sz w:val="22"/>
          <w:szCs w:val="22"/>
          <w:lang w:val="en-GB" w:eastAsia="en-GB"/>
        </w:rPr>
        <w:t xml:space="preserve">A meeting was held at </w:t>
      </w:r>
      <w:proofErr w:type="spellStart"/>
      <w:r w:rsidRPr="00310FDF">
        <w:rPr>
          <w:rFonts w:eastAsia="Times New Roman" w:cs="Arial"/>
          <w:bCs/>
          <w:iCs/>
          <w:color w:val="333333"/>
          <w:sz w:val="22"/>
          <w:szCs w:val="22"/>
          <w:lang w:val="en-GB" w:eastAsia="en-GB"/>
        </w:rPr>
        <w:t>Countesthorpe</w:t>
      </w:r>
      <w:proofErr w:type="spellEnd"/>
      <w:r w:rsidRPr="00310FDF">
        <w:rPr>
          <w:rFonts w:eastAsia="Times New Roman" w:cs="Arial"/>
          <w:bCs/>
          <w:iCs/>
          <w:color w:val="333333"/>
          <w:sz w:val="22"/>
          <w:szCs w:val="22"/>
          <w:lang w:val="en-GB" w:eastAsia="en-GB"/>
        </w:rPr>
        <w:t xml:space="preserve"> </w:t>
      </w:r>
      <w:r w:rsidR="007C1AA6">
        <w:rPr>
          <w:rFonts w:eastAsia="Times New Roman" w:cs="Arial"/>
          <w:bCs/>
          <w:iCs/>
          <w:color w:val="333333"/>
          <w:sz w:val="22"/>
          <w:szCs w:val="22"/>
          <w:lang w:val="en-GB" w:eastAsia="en-GB"/>
        </w:rPr>
        <w:t xml:space="preserve">to progress this idea.  The intention is </w:t>
      </w:r>
      <w:r w:rsidRPr="00310FDF">
        <w:rPr>
          <w:rFonts w:eastAsia="Times New Roman" w:cs="Arial"/>
          <w:bCs/>
          <w:iCs/>
          <w:color w:val="333333"/>
          <w:sz w:val="22"/>
          <w:szCs w:val="22"/>
          <w:lang w:val="en-GB" w:eastAsia="en-GB"/>
        </w:rPr>
        <w:t xml:space="preserve">for the Rutland Healthcare and </w:t>
      </w:r>
      <w:r w:rsidR="007C1AA6">
        <w:rPr>
          <w:rFonts w:eastAsia="Times New Roman" w:cs="Arial"/>
          <w:bCs/>
          <w:iCs/>
          <w:color w:val="333333"/>
          <w:sz w:val="22"/>
          <w:szCs w:val="22"/>
          <w:lang w:val="en-GB" w:eastAsia="en-GB"/>
        </w:rPr>
        <w:t xml:space="preserve">South </w:t>
      </w:r>
      <w:r w:rsidRPr="00310FDF">
        <w:rPr>
          <w:rFonts w:eastAsia="Times New Roman" w:cs="Arial"/>
          <w:bCs/>
          <w:iCs/>
          <w:color w:val="333333"/>
          <w:sz w:val="22"/>
          <w:szCs w:val="22"/>
          <w:lang w:val="en-GB" w:eastAsia="en-GB"/>
        </w:rPr>
        <w:t>Blaby</w:t>
      </w:r>
      <w:r w:rsidR="007C1AA6">
        <w:rPr>
          <w:rFonts w:eastAsia="Times New Roman" w:cs="Arial"/>
          <w:bCs/>
          <w:iCs/>
          <w:color w:val="333333"/>
          <w:sz w:val="22"/>
          <w:szCs w:val="22"/>
          <w:lang w:val="en-GB" w:eastAsia="en-GB"/>
        </w:rPr>
        <w:t xml:space="preserve"> / </w:t>
      </w:r>
      <w:proofErr w:type="spellStart"/>
      <w:r w:rsidR="007C1AA6">
        <w:rPr>
          <w:rFonts w:eastAsia="Times New Roman" w:cs="Arial"/>
          <w:bCs/>
          <w:iCs/>
          <w:color w:val="333333"/>
          <w:sz w:val="22"/>
          <w:szCs w:val="22"/>
          <w:lang w:val="en-GB" w:eastAsia="en-GB"/>
        </w:rPr>
        <w:t>Lutterworth</w:t>
      </w:r>
      <w:proofErr w:type="spellEnd"/>
      <w:r w:rsidRPr="00310FDF">
        <w:rPr>
          <w:rFonts w:eastAsia="Times New Roman" w:cs="Arial"/>
          <w:bCs/>
          <w:iCs/>
          <w:color w:val="333333"/>
          <w:sz w:val="22"/>
          <w:szCs w:val="22"/>
          <w:lang w:val="en-GB" w:eastAsia="en-GB"/>
        </w:rPr>
        <w:t xml:space="preserve"> Hub pilots to be run for their initial proposed 6 months to prove the concept with a manageable number of practices and learn lessons about the resourcing implications involved in any wider or long-term roll out.</w:t>
      </w:r>
    </w:p>
    <w:p w:rsidR="0056174D" w:rsidRDefault="0056174D" w:rsidP="002A33D8">
      <w:pPr>
        <w:outlineLvl w:val="0"/>
        <w:rPr>
          <w:rFonts w:eastAsia="Times New Roman" w:cs="Arial"/>
          <w:b/>
          <w:bCs/>
          <w:i/>
          <w:color w:val="444444"/>
          <w:kern w:val="36"/>
          <w:sz w:val="22"/>
          <w:szCs w:val="22"/>
          <w:lang w:val="en-GB" w:eastAsia="en-GB"/>
        </w:rPr>
      </w:pPr>
    </w:p>
    <w:p w:rsidR="002A33D8" w:rsidRPr="001252BF" w:rsidRDefault="00BD5C41" w:rsidP="001252BF">
      <w:pPr>
        <w:pStyle w:val="ListParagraph"/>
        <w:numPr>
          <w:ilvl w:val="0"/>
          <w:numId w:val="1"/>
        </w:numPr>
        <w:outlineLvl w:val="0"/>
        <w:rPr>
          <w:rFonts w:eastAsia="Times New Roman" w:cs="Arial"/>
          <w:b/>
          <w:bCs/>
          <w:color w:val="444444"/>
          <w:kern w:val="36"/>
          <w:sz w:val="22"/>
          <w:szCs w:val="22"/>
          <w:lang w:val="en-GB" w:eastAsia="en-GB"/>
        </w:rPr>
      </w:pPr>
      <w:r w:rsidRPr="0056174D">
        <w:rPr>
          <w:rFonts w:eastAsia="Times New Roman" w:cs="Arial"/>
          <w:b/>
          <w:bCs/>
          <w:color w:val="444444"/>
          <w:kern w:val="36"/>
          <w:sz w:val="22"/>
          <w:szCs w:val="22"/>
          <w:lang w:val="en-GB" w:eastAsia="en-GB"/>
        </w:rPr>
        <w:t xml:space="preserve">East Midlands </w:t>
      </w:r>
      <w:r w:rsidR="002A33D8" w:rsidRPr="0056174D">
        <w:rPr>
          <w:rFonts w:eastAsia="Times New Roman" w:cs="Arial"/>
          <w:b/>
          <w:bCs/>
          <w:color w:val="444444"/>
          <w:kern w:val="36"/>
          <w:sz w:val="22"/>
          <w:szCs w:val="22"/>
          <w:lang w:val="en-GB" w:eastAsia="en-GB"/>
        </w:rPr>
        <w:t xml:space="preserve">GP Federation </w:t>
      </w:r>
      <w:r w:rsidR="00933D0E" w:rsidRPr="0056174D">
        <w:rPr>
          <w:rFonts w:eastAsia="Times New Roman" w:cs="Arial"/>
          <w:b/>
          <w:bCs/>
          <w:color w:val="444444"/>
          <w:kern w:val="36"/>
          <w:sz w:val="22"/>
          <w:szCs w:val="22"/>
          <w:lang w:val="en-GB" w:eastAsia="en-GB"/>
        </w:rPr>
        <w:t>Networking Forum</w:t>
      </w:r>
      <w:r w:rsidR="001252BF">
        <w:rPr>
          <w:rFonts w:eastAsia="Times New Roman" w:cs="Arial"/>
          <w:b/>
          <w:bCs/>
          <w:color w:val="444444"/>
          <w:kern w:val="36"/>
          <w:sz w:val="22"/>
          <w:szCs w:val="22"/>
          <w:lang w:val="en-GB" w:eastAsia="en-GB"/>
        </w:rPr>
        <w:t xml:space="preserve"> - </w:t>
      </w:r>
      <w:r w:rsidR="002A33D8" w:rsidRPr="001252BF">
        <w:rPr>
          <w:rFonts w:eastAsia="Times New Roman" w:cs="Arial"/>
          <w:bCs/>
          <w:color w:val="444444"/>
          <w:kern w:val="36"/>
          <w:sz w:val="22"/>
          <w:szCs w:val="22"/>
          <w:lang w:val="en-GB" w:eastAsia="en-GB"/>
        </w:rPr>
        <w:t>We have been a member of this Forum for one year and now need to decide whether to continue membership for a further year at a cost of £1,000.</w:t>
      </w:r>
    </w:p>
    <w:p w:rsidR="00DE06B0" w:rsidRDefault="00DE06B0" w:rsidP="00DE06B0">
      <w:pPr>
        <w:outlineLvl w:val="0"/>
        <w:rPr>
          <w:rFonts w:eastAsia="Times New Roman" w:cs="Arial"/>
          <w:bCs/>
          <w:color w:val="444444"/>
          <w:kern w:val="36"/>
          <w:sz w:val="22"/>
          <w:szCs w:val="22"/>
          <w:lang w:val="en-GB" w:eastAsia="en-GB"/>
        </w:rPr>
      </w:pPr>
    </w:p>
    <w:p w:rsidR="00DE06B0" w:rsidRPr="0056174D" w:rsidRDefault="00DE06B0" w:rsidP="0056174D">
      <w:pPr>
        <w:pStyle w:val="ListParagraph"/>
        <w:numPr>
          <w:ilvl w:val="0"/>
          <w:numId w:val="1"/>
        </w:numPr>
        <w:outlineLvl w:val="0"/>
        <w:rPr>
          <w:rFonts w:eastAsia="Times New Roman" w:cs="Arial"/>
          <w:b/>
          <w:bCs/>
          <w:color w:val="444444"/>
          <w:kern w:val="36"/>
          <w:sz w:val="22"/>
          <w:szCs w:val="22"/>
          <w:lang w:val="en-GB" w:eastAsia="en-GB"/>
        </w:rPr>
      </w:pPr>
      <w:proofErr w:type="spellStart"/>
      <w:proofErr w:type="gramStart"/>
      <w:r w:rsidRPr="0056174D">
        <w:rPr>
          <w:rFonts w:eastAsia="Times New Roman" w:cs="Arial"/>
          <w:b/>
          <w:bCs/>
          <w:color w:val="444444"/>
          <w:kern w:val="36"/>
          <w:sz w:val="22"/>
          <w:szCs w:val="22"/>
          <w:lang w:val="en-GB" w:eastAsia="en-GB"/>
        </w:rPr>
        <w:t>Ballards</w:t>
      </w:r>
      <w:proofErr w:type="spellEnd"/>
      <w:proofErr w:type="gramEnd"/>
      <w:r w:rsidRPr="0056174D">
        <w:rPr>
          <w:rFonts w:eastAsia="Times New Roman" w:cs="Arial"/>
          <w:b/>
          <w:bCs/>
          <w:color w:val="444444"/>
          <w:kern w:val="36"/>
          <w:sz w:val="22"/>
          <w:szCs w:val="22"/>
          <w:lang w:val="en-GB" w:eastAsia="en-GB"/>
        </w:rPr>
        <w:t xml:space="preserve"> advice</w:t>
      </w:r>
      <w:r w:rsidR="0056174D">
        <w:rPr>
          <w:rFonts w:eastAsia="Times New Roman" w:cs="Arial"/>
          <w:b/>
          <w:bCs/>
          <w:color w:val="444444"/>
          <w:kern w:val="36"/>
          <w:sz w:val="22"/>
          <w:szCs w:val="22"/>
          <w:lang w:val="en-GB" w:eastAsia="en-GB"/>
        </w:rPr>
        <w:t xml:space="preserve"> – </w:t>
      </w:r>
      <w:r w:rsidR="0056174D">
        <w:rPr>
          <w:rFonts w:eastAsia="Times New Roman" w:cs="Arial"/>
          <w:bCs/>
          <w:color w:val="444444"/>
          <w:kern w:val="36"/>
          <w:sz w:val="22"/>
          <w:szCs w:val="22"/>
          <w:lang w:val="en-GB" w:eastAsia="en-GB"/>
        </w:rPr>
        <w:t xml:space="preserve">attached at </w:t>
      </w:r>
      <w:r w:rsidR="001252BF" w:rsidRPr="001252BF">
        <w:rPr>
          <w:rFonts w:eastAsia="Times New Roman" w:cs="Arial"/>
          <w:b/>
          <w:bCs/>
          <w:color w:val="444444"/>
          <w:kern w:val="36"/>
          <w:sz w:val="22"/>
          <w:szCs w:val="22"/>
          <w:lang w:val="en-GB" w:eastAsia="en-GB"/>
        </w:rPr>
        <w:t>appendix 3.</w:t>
      </w:r>
    </w:p>
    <w:p w:rsidR="002A33D8" w:rsidRDefault="002A33D8" w:rsidP="002A33D8">
      <w:pPr>
        <w:outlineLvl w:val="0"/>
        <w:rPr>
          <w:rFonts w:eastAsia="Times New Roman" w:cs="Arial"/>
          <w:bCs/>
          <w:color w:val="444444"/>
          <w:kern w:val="36"/>
          <w:sz w:val="22"/>
          <w:szCs w:val="22"/>
          <w:lang w:val="en-GB" w:eastAsia="en-GB"/>
        </w:rPr>
      </w:pPr>
    </w:p>
    <w:p w:rsidR="00E75F38" w:rsidRDefault="00E75F38" w:rsidP="002A33D8">
      <w:pPr>
        <w:outlineLvl w:val="0"/>
        <w:rPr>
          <w:rFonts w:eastAsia="Times New Roman" w:cs="Arial"/>
          <w:bCs/>
          <w:color w:val="444444"/>
          <w:kern w:val="36"/>
          <w:sz w:val="22"/>
          <w:szCs w:val="22"/>
          <w:lang w:val="en-GB" w:eastAsia="en-GB"/>
        </w:rPr>
        <w:sectPr w:rsidR="00E75F38" w:rsidSect="00972FEC">
          <w:headerReference w:type="default" r:id="rId10"/>
          <w:footerReference w:type="even" r:id="rId11"/>
          <w:footerReference w:type="default" r:id="rId12"/>
          <w:pgSz w:w="11906" w:h="16838"/>
          <w:pgMar w:top="1276" w:right="1440" w:bottom="993" w:left="1440" w:header="708" w:footer="708" w:gutter="0"/>
          <w:cols w:space="708"/>
          <w:docGrid w:linePitch="360"/>
        </w:sectPr>
      </w:pPr>
    </w:p>
    <w:p w:rsidR="002A33D8" w:rsidRPr="00E75F38" w:rsidRDefault="00E75F38" w:rsidP="002A33D8">
      <w:pPr>
        <w:outlineLvl w:val="0"/>
        <w:rPr>
          <w:rFonts w:eastAsia="Times New Roman" w:cs="Arial"/>
          <w:b/>
          <w:bCs/>
          <w:color w:val="444444"/>
          <w:kern w:val="36"/>
          <w:sz w:val="22"/>
          <w:szCs w:val="22"/>
          <w:lang w:val="en-GB" w:eastAsia="en-GB"/>
        </w:rPr>
      </w:pPr>
      <w:r w:rsidRPr="00E75F38">
        <w:rPr>
          <w:rFonts w:eastAsia="Times New Roman" w:cs="Arial"/>
          <w:b/>
          <w:bCs/>
          <w:color w:val="444444"/>
          <w:kern w:val="36"/>
          <w:sz w:val="22"/>
          <w:szCs w:val="22"/>
          <w:lang w:val="en-GB" w:eastAsia="en-GB"/>
        </w:rPr>
        <w:lastRenderedPageBreak/>
        <w:t>Appendix 1 – Transformation Fund reporting templates</w:t>
      </w:r>
    </w:p>
    <w:p w:rsidR="00E75F38" w:rsidRDefault="00E75F38" w:rsidP="002A33D8">
      <w:pPr>
        <w:outlineLvl w:val="0"/>
        <w:rPr>
          <w:rFonts w:eastAsia="Times New Roman" w:cs="Arial"/>
          <w:bCs/>
          <w:color w:val="444444"/>
          <w:kern w:val="36"/>
          <w:sz w:val="22"/>
          <w:szCs w:val="22"/>
          <w:lang w:val="en-GB" w:eastAsia="en-GB"/>
        </w:rPr>
      </w:pPr>
      <w:r w:rsidRPr="00E75F38">
        <w:drawing>
          <wp:inline distT="0" distB="0" distL="0" distR="0" wp14:anchorId="7ED266B1" wp14:editId="68BA7FD2">
            <wp:extent cx="9251315" cy="1280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315" cy="1280608"/>
                    </a:xfrm>
                    <a:prstGeom prst="rect">
                      <a:avLst/>
                    </a:prstGeom>
                    <a:noFill/>
                    <a:ln>
                      <a:noFill/>
                    </a:ln>
                  </pic:spPr>
                </pic:pic>
              </a:graphicData>
            </a:graphic>
          </wp:inline>
        </w:drawing>
      </w:r>
    </w:p>
    <w:p w:rsidR="00E75F38" w:rsidRDefault="00E75F38" w:rsidP="002A33D8">
      <w:pPr>
        <w:outlineLvl w:val="0"/>
        <w:rPr>
          <w:rFonts w:eastAsia="Times New Roman" w:cs="Arial"/>
          <w:bCs/>
          <w:color w:val="444444"/>
          <w:kern w:val="36"/>
          <w:sz w:val="22"/>
          <w:szCs w:val="22"/>
          <w:lang w:val="en-GB" w:eastAsia="en-GB"/>
        </w:rPr>
      </w:pPr>
    </w:p>
    <w:p w:rsidR="00E75F38" w:rsidRDefault="00E75F38" w:rsidP="002A33D8">
      <w:pPr>
        <w:outlineLvl w:val="0"/>
        <w:rPr>
          <w:rFonts w:eastAsia="Times New Roman" w:cs="Arial"/>
          <w:bCs/>
          <w:color w:val="444444"/>
          <w:kern w:val="36"/>
          <w:sz w:val="22"/>
          <w:szCs w:val="22"/>
          <w:lang w:val="en-GB" w:eastAsia="en-GB"/>
        </w:rPr>
      </w:pPr>
      <w:r w:rsidRPr="00E75F38">
        <w:drawing>
          <wp:inline distT="0" distB="0" distL="0" distR="0" wp14:anchorId="5DE1BEA9" wp14:editId="385C3C4D">
            <wp:extent cx="9251315" cy="3881968"/>
            <wp:effectExtent l="0" t="0" r="698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315" cy="3881968"/>
                    </a:xfrm>
                    <a:prstGeom prst="rect">
                      <a:avLst/>
                    </a:prstGeom>
                    <a:noFill/>
                    <a:ln>
                      <a:noFill/>
                    </a:ln>
                  </pic:spPr>
                </pic:pic>
              </a:graphicData>
            </a:graphic>
          </wp:inline>
        </w:drawing>
      </w:r>
    </w:p>
    <w:p w:rsidR="00E75F38" w:rsidRDefault="00E75F38" w:rsidP="002A33D8">
      <w:pPr>
        <w:outlineLvl w:val="0"/>
        <w:rPr>
          <w:rFonts w:eastAsia="Times New Roman" w:cs="Arial"/>
          <w:bCs/>
          <w:color w:val="444444"/>
          <w:kern w:val="36"/>
          <w:sz w:val="22"/>
          <w:szCs w:val="22"/>
          <w:lang w:val="en-GB" w:eastAsia="en-GB"/>
        </w:rPr>
      </w:pPr>
    </w:p>
    <w:p w:rsidR="00E75F38" w:rsidRDefault="00E75F38" w:rsidP="00616057">
      <w:pPr>
        <w:widowControl w:val="0"/>
        <w:tabs>
          <w:tab w:val="left" w:pos="220"/>
          <w:tab w:val="left" w:pos="720"/>
        </w:tabs>
        <w:autoSpaceDE w:val="0"/>
        <w:autoSpaceDN w:val="0"/>
        <w:adjustRightInd w:val="0"/>
        <w:spacing w:after="150"/>
        <w:rPr>
          <w:rFonts w:ascii="Times New Roman" w:eastAsia="Times New Roman" w:hAnsi="Times New Roman" w:cs="Times New Roman"/>
          <w:lang w:val="en-GB" w:eastAsia="en-GB"/>
        </w:rPr>
        <w:sectPr w:rsidR="00E75F38" w:rsidSect="00E75F38">
          <w:pgSz w:w="16838" w:h="11906" w:orient="landscape"/>
          <w:pgMar w:top="1440" w:right="993" w:bottom="1440" w:left="1276" w:header="708" w:footer="708" w:gutter="0"/>
          <w:cols w:space="708"/>
          <w:docGrid w:linePitch="360"/>
        </w:sectPr>
      </w:pPr>
    </w:p>
    <w:p w:rsidR="00DE06B0" w:rsidRDefault="00DE06B0" w:rsidP="00DE06B0">
      <w:pPr>
        <w:spacing w:line="276" w:lineRule="auto"/>
        <w:rPr>
          <w:rFonts w:eastAsiaTheme="minorHAnsi"/>
          <w:b/>
          <w:sz w:val="22"/>
          <w:szCs w:val="22"/>
          <w:u w:val="single"/>
          <w:lang w:val="en-GB"/>
        </w:rPr>
      </w:pPr>
      <w:r>
        <w:rPr>
          <w:rFonts w:eastAsiaTheme="minorHAnsi"/>
          <w:b/>
          <w:sz w:val="22"/>
          <w:szCs w:val="22"/>
          <w:u w:val="single"/>
          <w:lang w:val="en-GB"/>
        </w:rPr>
        <w:lastRenderedPageBreak/>
        <w:t>Appendix 2</w:t>
      </w:r>
    </w:p>
    <w:p w:rsidR="00DE06B0" w:rsidRPr="00DE06B0" w:rsidRDefault="00DE06B0" w:rsidP="00DE06B0">
      <w:pPr>
        <w:spacing w:line="276" w:lineRule="auto"/>
        <w:jc w:val="center"/>
        <w:rPr>
          <w:rFonts w:eastAsiaTheme="minorHAnsi"/>
          <w:b/>
          <w:sz w:val="22"/>
          <w:szCs w:val="22"/>
          <w:u w:val="single"/>
          <w:lang w:val="en-GB"/>
        </w:rPr>
      </w:pPr>
      <w:r w:rsidRPr="00DE06B0">
        <w:rPr>
          <w:rFonts w:eastAsiaTheme="minorHAnsi"/>
          <w:b/>
          <w:sz w:val="22"/>
          <w:szCs w:val="22"/>
          <w:u w:val="single"/>
          <w:lang w:val="en-GB"/>
        </w:rPr>
        <w:t>Teaching Academy meeting – 22</w:t>
      </w:r>
      <w:r w:rsidRPr="00DE06B0">
        <w:rPr>
          <w:rFonts w:eastAsiaTheme="minorHAnsi"/>
          <w:b/>
          <w:sz w:val="22"/>
          <w:szCs w:val="22"/>
          <w:u w:val="single"/>
          <w:vertAlign w:val="superscript"/>
          <w:lang w:val="en-GB"/>
        </w:rPr>
        <w:t>nd</w:t>
      </w:r>
      <w:r w:rsidRPr="00DE06B0">
        <w:rPr>
          <w:rFonts w:eastAsiaTheme="minorHAnsi"/>
          <w:b/>
          <w:sz w:val="22"/>
          <w:szCs w:val="22"/>
          <w:u w:val="single"/>
          <w:lang w:val="en-GB"/>
        </w:rPr>
        <w:t xml:space="preserve"> May 2018</w:t>
      </w:r>
    </w:p>
    <w:p w:rsidR="00DE06B0" w:rsidRPr="00DE06B0" w:rsidRDefault="00DE06B0" w:rsidP="00DE06B0">
      <w:pPr>
        <w:spacing w:line="276" w:lineRule="auto"/>
        <w:rPr>
          <w:rFonts w:eastAsiaTheme="minorHAnsi"/>
          <w:sz w:val="22"/>
          <w:szCs w:val="22"/>
          <w:u w:val="single"/>
          <w:lang w:val="en-GB"/>
        </w:rPr>
      </w:pPr>
      <w:r w:rsidRPr="00DE06B0">
        <w:rPr>
          <w:rFonts w:eastAsiaTheme="minorHAnsi"/>
          <w:b/>
          <w:sz w:val="22"/>
          <w:szCs w:val="22"/>
          <w:u w:val="single"/>
          <w:lang w:val="en-GB"/>
        </w:rPr>
        <w:t>Present</w:t>
      </w:r>
      <w:r w:rsidRPr="00DE06B0">
        <w:rPr>
          <w:rFonts w:eastAsiaTheme="minorHAnsi"/>
          <w:sz w:val="22"/>
          <w:szCs w:val="22"/>
          <w:u w:val="single"/>
          <w:lang w:val="en-GB"/>
        </w:rPr>
        <w:t xml:space="preserve">, </w:t>
      </w:r>
    </w:p>
    <w:p w:rsidR="00DE06B0" w:rsidRPr="00DE06B0" w:rsidRDefault="00DE06B0" w:rsidP="00DE06B0">
      <w:pPr>
        <w:numPr>
          <w:ilvl w:val="0"/>
          <w:numId w:val="41"/>
        </w:numPr>
        <w:spacing w:after="200" w:line="276" w:lineRule="auto"/>
        <w:contextualSpacing/>
        <w:rPr>
          <w:rFonts w:eastAsiaTheme="minorHAnsi"/>
          <w:sz w:val="22"/>
          <w:szCs w:val="22"/>
          <w:lang w:val="en-GB"/>
        </w:rPr>
      </w:pPr>
      <w:r w:rsidRPr="00DE06B0">
        <w:rPr>
          <w:rFonts w:eastAsiaTheme="minorHAnsi"/>
          <w:sz w:val="22"/>
          <w:szCs w:val="22"/>
          <w:lang w:val="en-GB"/>
        </w:rPr>
        <w:t>Anuj Chahal (Two Shires)</w:t>
      </w:r>
    </w:p>
    <w:p w:rsidR="00DE06B0" w:rsidRPr="00DE06B0" w:rsidRDefault="00DE06B0" w:rsidP="00DE06B0">
      <w:pPr>
        <w:numPr>
          <w:ilvl w:val="0"/>
          <w:numId w:val="41"/>
        </w:numPr>
        <w:spacing w:after="200" w:line="276" w:lineRule="auto"/>
        <w:contextualSpacing/>
        <w:rPr>
          <w:rFonts w:eastAsiaTheme="minorHAnsi"/>
          <w:sz w:val="22"/>
          <w:szCs w:val="22"/>
          <w:lang w:val="en-GB"/>
        </w:rPr>
      </w:pPr>
      <w:r w:rsidRPr="00DE06B0">
        <w:rPr>
          <w:rFonts w:eastAsiaTheme="minorHAnsi"/>
          <w:sz w:val="22"/>
          <w:szCs w:val="22"/>
          <w:lang w:val="en-GB"/>
        </w:rPr>
        <w:t>Ian Razzell (Oakham / Markey Overton / Somerby)</w:t>
      </w:r>
    </w:p>
    <w:p w:rsidR="00DE06B0" w:rsidRPr="00DE06B0" w:rsidRDefault="00DE06B0" w:rsidP="00DE06B0">
      <w:pPr>
        <w:numPr>
          <w:ilvl w:val="0"/>
          <w:numId w:val="41"/>
        </w:numPr>
        <w:spacing w:after="200" w:line="276" w:lineRule="auto"/>
        <w:contextualSpacing/>
        <w:rPr>
          <w:rFonts w:eastAsiaTheme="minorHAnsi"/>
          <w:sz w:val="22"/>
          <w:szCs w:val="22"/>
          <w:lang w:val="en-GB"/>
        </w:rPr>
      </w:pPr>
      <w:r w:rsidRPr="00DE06B0">
        <w:rPr>
          <w:rFonts w:ascii="Calibri" w:eastAsiaTheme="minorHAnsi" w:hAnsi="Calibri"/>
          <w:sz w:val="22"/>
          <w:szCs w:val="22"/>
          <w:lang w:val="en-GB"/>
        </w:rPr>
        <w:t>Pritesh Mistry</w:t>
      </w:r>
      <w:r w:rsidRPr="00DE06B0">
        <w:rPr>
          <w:rFonts w:eastAsiaTheme="minorHAnsi"/>
          <w:sz w:val="22"/>
          <w:szCs w:val="22"/>
          <w:lang w:val="en-GB"/>
        </w:rPr>
        <w:t xml:space="preserve"> (Forest House)</w:t>
      </w:r>
    </w:p>
    <w:p w:rsidR="00DE06B0" w:rsidRPr="00DE06B0" w:rsidRDefault="00DE06B0" w:rsidP="00DE06B0">
      <w:pPr>
        <w:numPr>
          <w:ilvl w:val="0"/>
          <w:numId w:val="41"/>
        </w:numPr>
        <w:spacing w:after="200" w:line="276" w:lineRule="auto"/>
        <w:contextualSpacing/>
        <w:rPr>
          <w:rFonts w:eastAsiaTheme="minorHAnsi"/>
          <w:sz w:val="22"/>
          <w:szCs w:val="22"/>
          <w:lang w:val="en-GB"/>
        </w:rPr>
      </w:pPr>
      <w:r w:rsidRPr="00DE06B0">
        <w:rPr>
          <w:rFonts w:eastAsiaTheme="minorHAnsi"/>
          <w:sz w:val="22"/>
          <w:szCs w:val="22"/>
          <w:lang w:val="en-GB"/>
        </w:rPr>
        <w:t>Steve Cooke (</w:t>
      </w:r>
      <w:proofErr w:type="spellStart"/>
      <w:r w:rsidRPr="00DE06B0">
        <w:rPr>
          <w:rFonts w:eastAsiaTheme="minorHAnsi"/>
          <w:sz w:val="22"/>
          <w:szCs w:val="22"/>
          <w:lang w:val="en-GB"/>
        </w:rPr>
        <w:t>Billesdon</w:t>
      </w:r>
      <w:proofErr w:type="spellEnd"/>
      <w:r w:rsidRPr="00DE06B0">
        <w:rPr>
          <w:rFonts w:eastAsiaTheme="minorHAnsi"/>
          <w:sz w:val="22"/>
          <w:szCs w:val="22"/>
          <w:lang w:val="en-GB"/>
        </w:rPr>
        <w:t>)</w:t>
      </w:r>
    </w:p>
    <w:p w:rsidR="00DE06B0" w:rsidRPr="00DE06B0" w:rsidRDefault="00DE06B0" w:rsidP="00DE06B0">
      <w:pPr>
        <w:numPr>
          <w:ilvl w:val="0"/>
          <w:numId w:val="41"/>
        </w:numPr>
        <w:spacing w:after="200" w:line="276" w:lineRule="auto"/>
        <w:contextualSpacing/>
        <w:rPr>
          <w:rFonts w:eastAsiaTheme="minorHAnsi"/>
          <w:sz w:val="22"/>
          <w:szCs w:val="22"/>
          <w:lang w:val="en-GB"/>
        </w:rPr>
      </w:pPr>
      <w:r w:rsidRPr="00DE06B0">
        <w:rPr>
          <w:rFonts w:eastAsiaTheme="minorHAnsi"/>
          <w:sz w:val="22"/>
          <w:szCs w:val="22"/>
          <w:lang w:val="en-GB"/>
        </w:rPr>
        <w:t>James Watkins (Federation)</w:t>
      </w:r>
    </w:p>
    <w:p w:rsidR="00DE06B0" w:rsidRPr="00DE06B0" w:rsidRDefault="00DE06B0" w:rsidP="00DE06B0">
      <w:pPr>
        <w:numPr>
          <w:ilvl w:val="0"/>
          <w:numId w:val="41"/>
        </w:numPr>
        <w:spacing w:after="200" w:line="276" w:lineRule="auto"/>
        <w:contextualSpacing/>
        <w:rPr>
          <w:rFonts w:eastAsiaTheme="minorHAnsi"/>
          <w:sz w:val="22"/>
          <w:szCs w:val="22"/>
          <w:lang w:val="en-GB"/>
        </w:rPr>
      </w:pPr>
      <w:r w:rsidRPr="00DE06B0">
        <w:rPr>
          <w:rFonts w:eastAsiaTheme="minorHAnsi"/>
          <w:sz w:val="22"/>
          <w:szCs w:val="22"/>
          <w:lang w:val="en-GB"/>
        </w:rPr>
        <w:t>Kirsty Whawell (</w:t>
      </w:r>
      <w:proofErr w:type="spellStart"/>
      <w:r w:rsidRPr="00DE06B0">
        <w:rPr>
          <w:rFonts w:eastAsiaTheme="minorHAnsi"/>
          <w:sz w:val="22"/>
          <w:szCs w:val="22"/>
          <w:lang w:val="en-GB"/>
        </w:rPr>
        <w:t>Kibworth</w:t>
      </w:r>
      <w:proofErr w:type="spellEnd"/>
      <w:r w:rsidRPr="00DE06B0">
        <w:rPr>
          <w:rFonts w:eastAsiaTheme="minorHAnsi"/>
          <w:sz w:val="22"/>
          <w:szCs w:val="22"/>
          <w:lang w:val="en-GB"/>
        </w:rPr>
        <w:t xml:space="preserve"> / Federation) </w:t>
      </w:r>
    </w:p>
    <w:p w:rsidR="00DE06B0" w:rsidRPr="00DE06B0" w:rsidRDefault="00DE06B0" w:rsidP="00DE06B0">
      <w:pPr>
        <w:numPr>
          <w:ilvl w:val="0"/>
          <w:numId w:val="41"/>
        </w:numPr>
        <w:spacing w:after="200" w:line="276" w:lineRule="auto"/>
        <w:contextualSpacing/>
        <w:rPr>
          <w:rFonts w:eastAsiaTheme="minorHAnsi"/>
          <w:sz w:val="22"/>
          <w:szCs w:val="22"/>
          <w:lang w:val="en-GB"/>
        </w:rPr>
      </w:pPr>
      <w:r w:rsidRPr="00DE06B0">
        <w:rPr>
          <w:rFonts w:eastAsiaTheme="minorHAnsi"/>
          <w:sz w:val="22"/>
          <w:szCs w:val="22"/>
          <w:lang w:val="en-GB"/>
        </w:rPr>
        <w:t>Jane Burns (University)</w:t>
      </w:r>
    </w:p>
    <w:p w:rsidR="00DE06B0" w:rsidRPr="00DE06B0" w:rsidRDefault="00DE06B0" w:rsidP="00DE06B0">
      <w:pPr>
        <w:numPr>
          <w:ilvl w:val="0"/>
          <w:numId w:val="41"/>
        </w:numPr>
        <w:spacing w:after="200" w:line="276" w:lineRule="auto"/>
        <w:contextualSpacing/>
        <w:rPr>
          <w:rFonts w:eastAsiaTheme="minorHAnsi"/>
          <w:sz w:val="22"/>
          <w:szCs w:val="22"/>
          <w:lang w:val="en-GB"/>
        </w:rPr>
      </w:pPr>
      <w:r w:rsidRPr="00DE06B0">
        <w:rPr>
          <w:rFonts w:eastAsiaTheme="minorHAnsi"/>
          <w:sz w:val="22"/>
          <w:szCs w:val="22"/>
          <w:lang w:val="en-GB"/>
        </w:rPr>
        <w:t>John Harrison (University)</w:t>
      </w:r>
    </w:p>
    <w:p w:rsidR="00DE06B0" w:rsidRPr="00DE06B0" w:rsidRDefault="00DE06B0" w:rsidP="00DE06B0">
      <w:pPr>
        <w:spacing w:line="276" w:lineRule="auto"/>
        <w:rPr>
          <w:rFonts w:ascii="Calibri" w:eastAsiaTheme="minorHAnsi" w:hAnsi="Calibri"/>
          <w:b/>
          <w:sz w:val="22"/>
          <w:szCs w:val="22"/>
          <w:u w:val="single"/>
          <w:lang w:val="en-GB"/>
        </w:rPr>
      </w:pPr>
      <w:r w:rsidRPr="00DE06B0">
        <w:rPr>
          <w:rFonts w:ascii="Calibri" w:eastAsiaTheme="minorHAnsi" w:hAnsi="Calibri"/>
          <w:b/>
          <w:sz w:val="22"/>
          <w:szCs w:val="22"/>
          <w:u w:val="single"/>
          <w:lang w:val="en-GB"/>
        </w:rPr>
        <w:t>Apologies;</w:t>
      </w:r>
    </w:p>
    <w:p w:rsidR="00DE06B0" w:rsidRPr="00DE06B0" w:rsidRDefault="00DE06B0" w:rsidP="00DE06B0">
      <w:pPr>
        <w:numPr>
          <w:ilvl w:val="0"/>
          <w:numId w:val="42"/>
        </w:numPr>
        <w:spacing w:after="200" w:line="276" w:lineRule="auto"/>
        <w:contextualSpacing/>
        <w:rPr>
          <w:rFonts w:eastAsiaTheme="minorHAnsi"/>
          <w:sz w:val="22"/>
          <w:szCs w:val="22"/>
          <w:lang w:val="en-GB"/>
        </w:rPr>
      </w:pPr>
      <w:proofErr w:type="spellStart"/>
      <w:r w:rsidRPr="00DE06B0">
        <w:rPr>
          <w:rFonts w:ascii="Calibri" w:eastAsiaTheme="minorHAnsi" w:hAnsi="Calibri"/>
          <w:sz w:val="22"/>
          <w:szCs w:val="22"/>
          <w:lang w:val="en-GB"/>
        </w:rPr>
        <w:t>Nainesh</w:t>
      </w:r>
      <w:proofErr w:type="spellEnd"/>
      <w:r w:rsidRPr="00DE06B0">
        <w:rPr>
          <w:rFonts w:ascii="Calibri" w:eastAsiaTheme="minorHAnsi" w:hAnsi="Calibri"/>
          <w:sz w:val="22"/>
          <w:szCs w:val="22"/>
          <w:lang w:val="en-GB"/>
        </w:rPr>
        <w:t xml:space="preserve"> Chotai (Glenfield)</w:t>
      </w:r>
    </w:p>
    <w:p w:rsidR="00DE06B0" w:rsidRPr="00DE06B0" w:rsidRDefault="00DE06B0" w:rsidP="00DE06B0">
      <w:pPr>
        <w:numPr>
          <w:ilvl w:val="0"/>
          <w:numId w:val="42"/>
        </w:numPr>
        <w:spacing w:after="200" w:line="276" w:lineRule="auto"/>
        <w:contextualSpacing/>
        <w:rPr>
          <w:rFonts w:eastAsiaTheme="minorHAnsi"/>
          <w:sz w:val="22"/>
          <w:szCs w:val="22"/>
          <w:lang w:val="en-GB"/>
        </w:rPr>
      </w:pPr>
      <w:proofErr w:type="spellStart"/>
      <w:r w:rsidRPr="00DE06B0">
        <w:rPr>
          <w:rFonts w:ascii="Calibri" w:eastAsiaTheme="minorHAnsi" w:hAnsi="Calibri"/>
          <w:sz w:val="22"/>
          <w:szCs w:val="22"/>
          <w:lang w:val="en-GB"/>
        </w:rPr>
        <w:t>Binta</w:t>
      </w:r>
      <w:proofErr w:type="spellEnd"/>
      <w:r w:rsidRPr="00DE06B0">
        <w:rPr>
          <w:rFonts w:ascii="Calibri" w:eastAsiaTheme="minorHAnsi" w:hAnsi="Calibri"/>
          <w:sz w:val="22"/>
          <w:szCs w:val="22"/>
          <w:lang w:val="en-GB"/>
        </w:rPr>
        <w:t xml:space="preserve"> Shapiro (The Limes)</w:t>
      </w:r>
    </w:p>
    <w:p w:rsidR="00DE06B0" w:rsidRPr="00DE06B0" w:rsidRDefault="00DE06B0" w:rsidP="00DE06B0">
      <w:pPr>
        <w:spacing w:line="276" w:lineRule="auto"/>
        <w:rPr>
          <w:rFonts w:eastAsiaTheme="minorHAnsi"/>
          <w:sz w:val="22"/>
          <w:szCs w:val="22"/>
          <w:lang w:val="en-GB"/>
        </w:rPr>
      </w:pPr>
    </w:p>
    <w:p w:rsidR="00DE06B0" w:rsidRPr="00DE06B0" w:rsidRDefault="00DE06B0" w:rsidP="00DE06B0">
      <w:pPr>
        <w:numPr>
          <w:ilvl w:val="0"/>
          <w:numId w:val="43"/>
        </w:numPr>
        <w:spacing w:after="200" w:line="276" w:lineRule="auto"/>
        <w:ind w:left="770"/>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 xml:space="preserve"> HISTORY</w:t>
      </w:r>
    </w:p>
    <w:p w:rsidR="00DE06B0" w:rsidRPr="00DE06B0" w:rsidRDefault="00DE06B0" w:rsidP="00DE06B0">
      <w:pPr>
        <w:ind w:left="410"/>
        <w:rPr>
          <w:rFonts w:eastAsia="Times New Roman" w:cs="Times New Roman"/>
          <w:sz w:val="22"/>
          <w:szCs w:val="22"/>
          <w:lang w:val="en-GB" w:eastAsia="en-GB"/>
        </w:rPr>
      </w:pPr>
      <w:r w:rsidRPr="00DE06B0">
        <w:rPr>
          <w:rFonts w:eastAsia="Times New Roman" w:cs="Times New Roman"/>
          <w:sz w:val="22"/>
          <w:szCs w:val="22"/>
          <w:lang w:val="en-GB" w:eastAsia="en-GB"/>
        </w:rPr>
        <w:t>Anuj outlined the history of the previous Federation application to become an academy (January 2017).</w:t>
      </w:r>
    </w:p>
    <w:p w:rsidR="00DE06B0" w:rsidRPr="00DE06B0" w:rsidRDefault="00DE06B0" w:rsidP="00DE06B0">
      <w:pPr>
        <w:ind w:left="720"/>
        <w:contextualSpacing/>
        <w:rPr>
          <w:rFonts w:eastAsia="Times New Roman" w:cs="Times New Roman"/>
          <w:b/>
          <w:sz w:val="22"/>
          <w:szCs w:val="22"/>
          <w:u w:val="single"/>
          <w:lang w:val="en-GB" w:eastAsia="en-GB"/>
        </w:rPr>
      </w:pP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TEACHING EXPERIENCE AND EXPERTISE AND SUPPORT</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The teaching experience and expertise of the 7 interested practices will vary. Teaching support will be offered by the medical school at masterclasses here or on location to team members involved in teaching.</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YEAR 3 STUDENT TEACHING</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These students have 12 week placements x3 in the year.  The practice should appoint a named mentor for each student. Teaching can be undertaken by several members of the practice team including</w:t>
      </w:r>
    </w:p>
    <w:p w:rsidR="00DE06B0" w:rsidRPr="00DE06B0" w:rsidRDefault="00DE06B0" w:rsidP="00DE06B0">
      <w:pPr>
        <w:ind w:left="360"/>
        <w:rPr>
          <w:rFonts w:eastAsia="Times New Roman" w:cs="Times New Roman"/>
          <w:sz w:val="22"/>
          <w:szCs w:val="22"/>
          <w:lang w:val="en-GB" w:eastAsia="en-GB"/>
        </w:rPr>
      </w:pP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HCAs, ANPs practice and district nurses. They should be encouraged to work with the HCA and undertake practical procedures such as phlebotomy and spirometry for instance. Jane will check on the indemnity situation with our students.</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Some sessions could take place in urgent care/care homes to undertake for instance medication and or care plan reviews. The students should be encouraged to undertake audit activities.</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There should be 5 sessions a week set aside for face to face teaching by a GP, some observed, some with supervision available. If a practice has 2 students one can consult and the other observe objectively.</w:t>
      </w:r>
    </w:p>
    <w:p w:rsidR="00DE06B0" w:rsidRPr="00DE06B0" w:rsidRDefault="00DE06B0" w:rsidP="00DE06B0">
      <w:pPr>
        <w:ind w:left="360"/>
        <w:rPr>
          <w:rFonts w:eastAsia="Times New Roman" w:cs="Times New Roman"/>
          <w:sz w:val="22"/>
          <w:szCs w:val="22"/>
          <w:lang w:val="en-GB" w:eastAsia="en-GB"/>
        </w:rPr>
      </w:pP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There should be one group/locality teaching session per week which can be rotated amongst the academy practices. These can be video consultation analysis and be tripartite with FY1 doctors and registrars.  Wednesday afternoon is an authorised absence session for sport and recreation. Wednesday morning may be the preferred session for ‘locality’ teaching.</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The students have a number of DOPS to perform some of which could happen within GP.</w:t>
      </w:r>
    </w:p>
    <w:p w:rsidR="00DE06B0" w:rsidRPr="00DE06B0" w:rsidRDefault="00DE06B0" w:rsidP="00DE06B0">
      <w:pPr>
        <w:ind w:left="360"/>
        <w:rPr>
          <w:rFonts w:eastAsia="Times New Roman" w:cs="Times New Roman"/>
          <w:sz w:val="22"/>
          <w:szCs w:val="22"/>
          <w:lang w:val="en-GB" w:eastAsia="en-GB"/>
        </w:rPr>
      </w:pP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FEEDBACK</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Can and should be given by GPs and the nursing teams and should use the student’s NHS portfolios. There should be some multisource feedback too.</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lastRenderedPageBreak/>
        <w:t> </w:t>
      </w: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ASSESSMENT</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This will not be arduous and will require the student to undertake some SBAs and the practice to enter structured comments on performance at mid and end point and entries into the e-portfolio. LIFT UPP</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YEAR 5 TEACHING</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This is called a student foundation assistantship. There will be 3x6 week blocks in a practice with a week interval between each block. This will start in February 2019. This is an apprentice model. The students will have passed finals and have undertaken an elective and could undertake patient consultation independently with supervision available. Jane will email the course information.</w:t>
      </w:r>
    </w:p>
    <w:p w:rsidR="00DE06B0" w:rsidRPr="00DE06B0" w:rsidRDefault="00DE06B0" w:rsidP="00DE06B0">
      <w:pPr>
        <w:ind w:left="360"/>
        <w:rPr>
          <w:rFonts w:eastAsia="Times New Roman" w:cs="Times New Roman"/>
          <w:sz w:val="22"/>
          <w:szCs w:val="22"/>
          <w:lang w:val="en-GB" w:eastAsia="en-GB"/>
        </w:rPr>
      </w:pP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Some practices do take year 3 and 45 students but there is overlap and this can be challenging administratively and from a manpower perspective.</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TURTORIAL RESOURCES</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These can be shared electronically.</w:t>
      </w:r>
    </w:p>
    <w:p w:rsidR="00DE06B0" w:rsidRPr="00DE06B0" w:rsidRDefault="00DE06B0" w:rsidP="00DE06B0">
      <w:pPr>
        <w:rPr>
          <w:rFonts w:eastAsia="Times New Roman" w:cs="Times New Roman"/>
          <w:b/>
          <w:sz w:val="22"/>
          <w:szCs w:val="22"/>
          <w:u w:val="single"/>
          <w:lang w:val="en-GB" w:eastAsia="en-GB"/>
        </w:rPr>
      </w:pPr>
      <w:r w:rsidRPr="00DE06B0">
        <w:rPr>
          <w:rFonts w:eastAsia="Times New Roman" w:cs="Times New Roman"/>
          <w:sz w:val="22"/>
          <w:szCs w:val="22"/>
          <w:lang w:val="en-GB" w:eastAsia="en-GB"/>
        </w:rPr>
        <w:t> </w:t>
      </w: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ANNUAL TEACHER’S WORKSHOP</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 xml:space="preserve">This will take place at the George Davis Centre, the principal medical school building, on the </w:t>
      </w:r>
      <w:r w:rsidRPr="00DE06B0">
        <w:rPr>
          <w:rFonts w:eastAsia="Times New Roman" w:cs="Times New Roman"/>
          <w:b/>
          <w:sz w:val="22"/>
          <w:szCs w:val="22"/>
          <w:u w:val="single"/>
          <w:lang w:val="en-GB" w:eastAsia="en-GB"/>
        </w:rPr>
        <w:t>6</w:t>
      </w:r>
      <w:r w:rsidRPr="00DE06B0">
        <w:rPr>
          <w:rFonts w:eastAsia="Times New Roman" w:cs="Times New Roman"/>
          <w:b/>
          <w:sz w:val="22"/>
          <w:szCs w:val="22"/>
          <w:u w:val="single"/>
          <w:vertAlign w:val="superscript"/>
          <w:lang w:val="en-GB" w:eastAsia="en-GB"/>
        </w:rPr>
        <w:t>th</w:t>
      </w:r>
      <w:r w:rsidRPr="00DE06B0">
        <w:rPr>
          <w:rFonts w:eastAsia="Times New Roman" w:cs="Times New Roman"/>
          <w:b/>
          <w:sz w:val="22"/>
          <w:szCs w:val="22"/>
          <w:u w:val="single"/>
          <w:lang w:val="en-GB" w:eastAsia="en-GB"/>
        </w:rPr>
        <w:t> September 2018</w:t>
      </w:r>
      <w:r w:rsidRPr="00DE06B0">
        <w:rPr>
          <w:rFonts w:eastAsia="Times New Roman" w:cs="Times New Roman"/>
          <w:sz w:val="22"/>
          <w:szCs w:val="22"/>
          <w:lang w:val="en-GB" w:eastAsia="en-GB"/>
        </w:rPr>
        <w:t xml:space="preserve"> and is an all-day event.</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GEOGRAPHY</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Will students be able to commute by public transport to all the involved surgeries?</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PASTORAL, ACADEMIC AND PROFESSIONALISM SUPPORT</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These support services can be accessed through the medical school if the practice has concerns about any student. Jane is involved in academic support and John in professional support. This is likely to be a less usual event.</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PAYMENTS</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 xml:space="preserve">Each student placement will attract a fee of £500 per week.  John will clarify with Chris </w:t>
      </w:r>
      <w:proofErr w:type="spellStart"/>
      <w:r w:rsidRPr="00DE06B0">
        <w:rPr>
          <w:rFonts w:eastAsia="Times New Roman" w:cs="Times New Roman"/>
          <w:sz w:val="22"/>
          <w:szCs w:val="22"/>
          <w:lang w:val="en-GB" w:eastAsia="en-GB"/>
        </w:rPr>
        <w:t>Rawden</w:t>
      </w:r>
      <w:proofErr w:type="spellEnd"/>
      <w:r w:rsidRPr="00DE06B0">
        <w:rPr>
          <w:rFonts w:eastAsia="Times New Roman" w:cs="Times New Roman"/>
          <w:sz w:val="22"/>
          <w:szCs w:val="22"/>
          <w:lang w:val="en-GB" w:eastAsia="en-GB"/>
        </w:rPr>
        <w:t>, the new Operations Manager, if this is inclusive or exclusive of VAT.</w:t>
      </w:r>
    </w:p>
    <w:p w:rsidR="00DE06B0" w:rsidRPr="00DE06B0" w:rsidRDefault="00DE06B0" w:rsidP="00DE06B0">
      <w:pPr>
        <w:rPr>
          <w:rFonts w:eastAsia="Times New Roman" w:cs="Times New Roman"/>
          <w:sz w:val="22"/>
          <w:szCs w:val="22"/>
          <w:lang w:val="en-GB" w:eastAsia="en-GB"/>
        </w:rPr>
      </w:pP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 xml:space="preserve">Rodger Charlton and Chris </w:t>
      </w:r>
      <w:proofErr w:type="spellStart"/>
      <w:r w:rsidRPr="00DE06B0">
        <w:rPr>
          <w:rFonts w:eastAsia="Times New Roman" w:cs="Times New Roman"/>
          <w:sz w:val="22"/>
          <w:szCs w:val="22"/>
          <w:lang w:val="en-GB" w:eastAsia="en-GB"/>
        </w:rPr>
        <w:t>Rawden</w:t>
      </w:r>
      <w:proofErr w:type="spellEnd"/>
      <w:r w:rsidRPr="00DE06B0">
        <w:rPr>
          <w:rFonts w:eastAsia="Times New Roman" w:cs="Times New Roman"/>
          <w:sz w:val="22"/>
          <w:szCs w:val="22"/>
          <w:lang w:val="en-GB" w:eastAsia="en-GB"/>
        </w:rPr>
        <w:t xml:space="preserve"> will clarify the fees to be paid to an academy to help towards administrative costs and the fee that may be payable on a new practice entering an academy. A fee of around £2,000 will be paid for each new practice that joins the academy. Chris </w:t>
      </w:r>
      <w:proofErr w:type="spellStart"/>
      <w:r w:rsidRPr="00DE06B0">
        <w:rPr>
          <w:rFonts w:eastAsia="Times New Roman" w:cs="Times New Roman"/>
          <w:sz w:val="22"/>
          <w:szCs w:val="22"/>
          <w:lang w:val="en-GB" w:eastAsia="en-GB"/>
        </w:rPr>
        <w:t>Rawden</w:t>
      </w:r>
      <w:proofErr w:type="spellEnd"/>
      <w:r w:rsidRPr="00DE06B0">
        <w:rPr>
          <w:rFonts w:eastAsia="Times New Roman" w:cs="Times New Roman"/>
          <w:sz w:val="22"/>
          <w:szCs w:val="22"/>
          <w:lang w:val="en-GB" w:eastAsia="en-GB"/>
        </w:rPr>
        <w:t xml:space="preserve"> (</w:t>
      </w:r>
      <w:hyperlink r:id="rId15" w:tgtFrame="_blank" w:history="1">
        <w:r w:rsidRPr="00DE06B0">
          <w:rPr>
            <w:rFonts w:eastAsia="Times New Roman" w:cs="Times New Roman"/>
            <w:sz w:val="22"/>
            <w:szCs w:val="22"/>
            <w:u w:val="single"/>
            <w:lang w:val="en-GB" w:eastAsia="en-GB"/>
          </w:rPr>
          <w:t>cjr49@leicester.ac.uk</w:t>
        </w:r>
      </w:hyperlink>
      <w:r w:rsidRPr="00DE06B0">
        <w:rPr>
          <w:rFonts w:eastAsia="Times New Roman" w:cs="Times New Roman"/>
          <w:sz w:val="22"/>
          <w:szCs w:val="22"/>
          <w:lang w:val="en-GB" w:eastAsia="en-GB"/>
        </w:rPr>
        <w:t>)</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 </w:t>
      </w:r>
    </w:p>
    <w:p w:rsidR="00DE06B0" w:rsidRPr="00DE06B0" w:rsidRDefault="00DE06B0" w:rsidP="00DE06B0">
      <w:pPr>
        <w:numPr>
          <w:ilvl w:val="0"/>
          <w:numId w:val="43"/>
        </w:numPr>
        <w:spacing w:after="200" w:line="276" w:lineRule="auto"/>
        <w:contextualSpacing/>
        <w:rPr>
          <w:rFonts w:eastAsia="Times New Roman" w:cs="Times New Roman"/>
          <w:b/>
          <w:sz w:val="22"/>
          <w:szCs w:val="22"/>
          <w:u w:val="single"/>
          <w:lang w:val="en-GB" w:eastAsia="en-GB"/>
        </w:rPr>
      </w:pPr>
      <w:r w:rsidRPr="00DE06B0">
        <w:rPr>
          <w:rFonts w:eastAsia="Times New Roman" w:cs="Times New Roman"/>
          <w:b/>
          <w:sz w:val="22"/>
          <w:szCs w:val="22"/>
          <w:u w:val="single"/>
          <w:lang w:val="en-GB" w:eastAsia="en-GB"/>
        </w:rPr>
        <w:t>FOLLOW UP</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 xml:space="preserve">The consensus seemed to be there was great interest in teaching year 3 students; starting in </w:t>
      </w:r>
      <w:proofErr w:type="spellStart"/>
      <w:r w:rsidRPr="00DE06B0">
        <w:rPr>
          <w:rFonts w:eastAsia="Times New Roman" w:cs="Times New Roman"/>
          <w:sz w:val="22"/>
          <w:szCs w:val="22"/>
          <w:lang w:val="en-GB" w:eastAsia="en-GB"/>
        </w:rPr>
        <w:t>ly</w:t>
      </w:r>
      <w:proofErr w:type="spellEnd"/>
      <w:r w:rsidRPr="00DE06B0">
        <w:rPr>
          <w:rFonts w:eastAsia="Times New Roman" w:cs="Times New Roman"/>
          <w:sz w:val="22"/>
          <w:szCs w:val="22"/>
          <w:lang w:val="en-GB" w:eastAsia="en-GB"/>
        </w:rPr>
        <w:t xml:space="preserve"> January 2019 and year 5 students in February 2019.  We did comment that the student teaching cross over in some practices teaching both year 3 and 5 students has been administratively challenging.</w:t>
      </w:r>
    </w:p>
    <w:p w:rsidR="00DE06B0" w:rsidRPr="00DE06B0" w:rsidRDefault="00DE06B0" w:rsidP="00DE06B0">
      <w:pPr>
        <w:ind w:left="360"/>
        <w:rPr>
          <w:rFonts w:eastAsia="Times New Roman" w:cs="Times New Roman"/>
          <w:sz w:val="22"/>
          <w:szCs w:val="22"/>
          <w:lang w:val="en-GB" w:eastAsia="en-GB"/>
        </w:rPr>
      </w:pP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 xml:space="preserve">The Federation academy practices will meet in June 2018 and then meet again with Jane and John in </w:t>
      </w:r>
      <w:proofErr w:type="spellStart"/>
      <w:r w:rsidRPr="00DE06B0">
        <w:rPr>
          <w:rFonts w:eastAsia="Times New Roman" w:cs="Times New Roman"/>
          <w:sz w:val="22"/>
          <w:szCs w:val="22"/>
          <w:lang w:val="en-GB" w:eastAsia="en-GB"/>
        </w:rPr>
        <w:t>approx</w:t>
      </w:r>
      <w:proofErr w:type="spellEnd"/>
      <w:r w:rsidRPr="00DE06B0">
        <w:rPr>
          <w:rFonts w:eastAsia="Times New Roman" w:cs="Times New Roman"/>
          <w:sz w:val="22"/>
          <w:szCs w:val="22"/>
          <w:lang w:val="en-GB" w:eastAsia="en-GB"/>
        </w:rPr>
        <w:t xml:space="preserve"> 2 months’ time.</w:t>
      </w: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John will ask Rodger Charlton and Chris to clarify the start-up payments.</w:t>
      </w:r>
    </w:p>
    <w:p w:rsidR="00DE06B0" w:rsidRPr="00DE06B0" w:rsidRDefault="00DE06B0" w:rsidP="00DE06B0">
      <w:pPr>
        <w:rPr>
          <w:rFonts w:eastAsia="Times New Roman" w:cs="Times New Roman"/>
          <w:sz w:val="22"/>
          <w:szCs w:val="22"/>
          <w:lang w:val="en-GB" w:eastAsia="en-GB"/>
        </w:rPr>
      </w:pP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 xml:space="preserve">John will ask Chris </w:t>
      </w:r>
      <w:proofErr w:type="spellStart"/>
      <w:r w:rsidRPr="00DE06B0">
        <w:rPr>
          <w:rFonts w:eastAsia="Times New Roman" w:cs="Times New Roman"/>
          <w:sz w:val="22"/>
          <w:szCs w:val="22"/>
          <w:lang w:val="en-GB" w:eastAsia="en-GB"/>
        </w:rPr>
        <w:t>Rawden</w:t>
      </w:r>
      <w:proofErr w:type="spellEnd"/>
      <w:r w:rsidRPr="00DE06B0">
        <w:rPr>
          <w:rFonts w:eastAsia="Times New Roman" w:cs="Times New Roman"/>
          <w:sz w:val="22"/>
          <w:szCs w:val="22"/>
          <w:lang w:val="en-GB" w:eastAsia="en-GB"/>
        </w:rPr>
        <w:t xml:space="preserve"> to discuss the financial arrangements with you and answer Ian’s question re VAT.</w:t>
      </w:r>
    </w:p>
    <w:p w:rsidR="00DE06B0" w:rsidRPr="00DE06B0" w:rsidRDefault="00DE06B0" w:rsidP="00DE06B0">
      <w:pPr>
        <w:ind w:left="360"/>
        <w:rPr>
          <w:rFonts w:eastAsia="Times New Roman" w:cs="Times New Roman"/>
          <w:sz w:val="22"/>
          <w:szCs w:val="22"/>
          <w:lang w:val="en-GB" w:eastAsia="en-GB"/>
        </w:rPr>
      </w:pPr>
    </w:p>
    <w:p w:rsidR="00DE06B0" w:rsidRPr="00DE06B0" w:rsidRDefault="00DE06B0" w:rsidP="00DE06B0">
      <w:pPr>
        <w:ind w:left="360"/>
        <w:rPr>
          <w:rFonts w:eastAsia="Times New Roman" w:cs="Times New Roman"/>
          <w:sz w:val="22"/>
          <w:szCs w:val="22"/>
          <w:lang w:val="en-GB" w:eastAsia="en-GB"/>
        </w:rPr>
      </w:pPr>
      <w:r w:rsidRPr="00DE06B0">
        <w:rPr>
          <w:rFonts w:eastAsia="Times New Roman" w:cs="Times New Roman"/>
          <w:sz w:val="22"/>
          <w:szCs w:val="22"/>
          <w:lang w:val="en-GB" w:eastAsia="en-GB"/>
        </w:rPr>
        <w:t xml:space="preserve">Jane will email the electronic information relevant to the various </w:t>
      </w:r>
      <w:proofErr w:type="gramStart"/>
      <w:r w:rsidRPr="00DE06B0">
        <w:rPr>
          <w:rFonts w:eastAsia="Times New Roman" w:cs="Times New Roman"/>
          <w:sz w:val="22"/>
          <w:szCs w:val="22"/>
          <w:lang w:val="en-GB" w:eastAsia="en-GB"/>
        </w:rPr>
        <w:t>course</w:t>
      </w:r>
      <w:proofErr w:type="gramEnd"/>
      <w:r w:rsidRPr="00DE06B0">
        <w:rPr>
          <w:rFonts w:eastAsia="Times New Roman" w:cs="Times New Roman"/>
          <w:sz w:val="22"/>
          <w:szCs w:val="22"/>
          <w:lang w:val="en-GB" w:eastAsia="en-GB"/>
        </w:rPr>
        <w:t xml:space="preserve"> we discussed </w:t>
      </w:r>
    </w:p>
    <w:p w:rsidR="00760792" w:rsidRDefault="00760792" w:rsidP="00760792">
      <w:pPr>
        <w:rPr>
          <w:rFonts w:cs="Arial"/>
          <w:b/>
          <w:sz w:val="22"/>
          <w:szCs w:val="22"/>
          <w:u w:val="single"/>
        </w:rPr>
        <w:sectPr w:rsidR="00760792" w:rsidSect="00D043C3">
          <w:pgSz w:w="11906" w:h="16838"/>
          <w:pgMar w:top="1440" w:right="1133" w:bottom="1276" w:left="1134" w:header="708" w:footer="708" w:gutter="0"/>
          <w:cols w:space="708"/>
          <w:docGrid w:linePitch="360"/>
        </w:sectPr>
      </w:pPr>
    </w:p>
    <w:p w:rsidR="00DE06B0" w:rsidRDefault="00DE06B0" w:rsidP="00DE06B0">
      <w:pPr>
        <w:spacing w:after="200" w:line="276" w:lineRule="auto"/>
        <w:rPr>
          <w:rFonts w:eastAsiaTheme="minorHAnsi"/>
          <w:b/>
          <w:sz w:val="22"/>
          <w:szCs w:val="22"/>
          <w:u w:val="single"/>
          <w:lang w:val="en-GB"/>
        </w:rPr>
      </w:pPr>
      <w:r>
        <w:rPr>
          <w:rFonts w:eastAsiaTheme="minorHAnsi"/>
          <w:b/>
          <w:sz w:val="22"/>
          <w:szCs w:val="22"/>
          <w:u w:val="single"/>
          <w:lang w:val="en-GB"/>
        </w:rPr>
        <w:lastRenderedPageBreak/>
        <w:t>Appendix 3</w:t>
      </w:r>
    </w:p>
    <w:p w:rsidR="00DE06B0" w:rsidRPr="00DE06B0" w:rsidRDefault="00DE06B0" w:rsidP="00DE06B0">
      <w:pPr>
        <w:spacing w:after="200" w:line="276" w:lineRule="auto"/>
        <w:jc w:val="center"/>
        <w:rPr>
          <w:rFonts w:eastAsiaTheme="minorHAnsi"/>
          <w:b/>
          <w:sz w:val="22"/>
          <w:szCs w:val="22"/>
          <w:u w:val="single"/>
          <w:lang w:val="en-GB"/>
        </w:rPr>
      </w:pPr>
      <w:proofErr w:type="spellStart"/>
      <w:proofErr w:type="gramStart"/>
      <w:r w:rsidRPr="00DE06B0">
        <w:rPr>
          <w:rFonts w:eastAsiaTheme="minorHAnsi"/>
          <w:b/>
          <w:sz w:val="22"/>
          <w:szCs w:val="22"/>
          <w:u w:val="single"/>
          <w:lang w:val="en-GB"/>
        </w:rPr>
        <w:t>Ballards</w:t>
      </w:r>
      <w:proofErr w:type="spellEnd"/>
      <w:proofErr w:type="gramEnd"/>
      <w:r w:rsidRPr="00DE06B0">
        <w:rPr>
          <w:rFonts w:eastAsiaTheme="minorHAnsi"/>
          <w:b/>
          <w:sz w:val="22"/>
          <w:szCs w:val="22"/>
          <w:u w:val="single"/>
          <w:lang w:val="en-GB"/>
        </w:rPr>
        <w:t xml:space="preserve"> advice @ June 2018</w:t>
      </w:r>
    </w:p>
    <w:p w:rsidR="00DE06B0" w:rsidRPr="00DE06B0" w:rsidRDefault="00DE06B0" w:rsidP="00DE06B0">
      <w:pPr>
        <w:rPr>
          <w:rFonts w:eastAsia="Times New Roman" w:cs="Times New Roman"/>
          <w:b/>
          <w:color w:val="333333"/>
          <w:sz w:val="22"/>
          <w:szCs w:val="22"/>
          <w:u w:val="single"/>
          <w:lang w:val="en-GB" w:eastAsia="en-GB"/>
        </w:rPr>
      </w:pPr>
      <w:r w:rsidRPr="00DE06B0">
        <w:rPr>
          <w:rFonts w:eastAsia="Times New Roman" w:cs="Times New Roman"/>
          <w:b/>
          <w:color w:val="000000"/>
          <w:sz w:val="22"/>
          <w:szCs w:val="22"/>
          <w:u w:val="single"/>
          <w:lang w:val="en-GB" w:eastAsia="en-GB"/>
        </w:rPr>
        <w:t>1 Transformation Funding - £2.25pp  </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The ELR CCG has offered our 6 localities to make application bids for Transformation Funds.</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The Federation has been assisting and supporting these localities in the application process.</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As each locality is made up of a number of practices, the funding cannot go to just one practice (there are no 'community type' entities set up).  It has been suggested that the Federation holds, and manages, the funds on behalf on the localities.</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 xml:space="preserve">The Federation would pay out expenses on behalf of the </w:t>
      </w:r>
      <w:proofErr w:type="spellStart"/>
      <w:r w:rsidRPr="00DE06B0">
        <w:rPr>
          <w:rFonts w:eastAsia="Times New Roman" w:cs="Times New Roman"/>
          <w:color w:val="000000"/>
          <w:sz w:val="22"/>
          <w:szCs w:val="22"/>
          <w:lang w:val="en-GB" w:eastAsia="en-GB"/>
        </w:rPr>
        <w:t>localites</w:t>
      </w:r>
      <w:proofErr w:type="spellEnd"/>
      <w:r w:rsidRPr="00DE06B0">
        <w:rPr>
          <w:rFonts w:eastAsia="Times New Roman" w:cs="Times New Roman"/>
          <w:color w:val="000000"/>
          <w:sz w:val="22"/>
          <w:szCs w:val="22"/>
          <w:lang w:val="en-GB" w:eastAsia="en-GB"/>
        </w:rPr>
        <w:t xml:space="preserve"> and maintain a basic set of accounts.</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b/>
          <w:bCs/>
          <w:color w:val="000000"/>
          <w:sz w:val="22"/>
          <w:szCs w:val="22"/>
          <w:lang w:val="en-GB" w:eastAsia="en-GB"/>
        </w:rPr>
        <w:t>Question - would there be a problem with this set-up?  Would we need to set up a separate 'client' account to hold, and expend, these funds?  What issues should we be aware of?</w:t>
      </w:r>
    </w:p>
    <w:p w:rsidR="00DE06B0" w:rsidRPr="00DE06B0" w:rsidRDefault="00DE06B0" w:rsidP="00DE06B0">
      <w:pPr>
        <w:rPr>
          <w:rFonts w:eastAsia="Times New Roman" w:cs="Times New Roman"/>
          <w:color w:val="FF0000"/>
          <w:sz w:val="22"/>
          <w:szCs w:val="22"/>
          <w:lang w:val="en-GB" w:eastAsia="en-GB"/>
        </w:rPr>
      </w:pP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Need to discuss more to consider potential problems</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Re client account: In principle, ‘need’ of client account dictated by contract with CCG</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 xml:space="preserve">However, best practice would be to have one – also would help with argument that this is not income belonging to ELR and hence not being </w:t>
      </w:r>
      <w:proofErr w:type="spellStart"/>
      <w:r w:rsidRPr="00DE06B0">
        <w:rPr>
          <w:rFonts w:eastAsia="Times New Roman" w:cs="Times New Roman"/>
          <w:color w:val="FF0000"/>
          <w:sz w:val="22"/>
          <w:szCs w:val="22"/>
          <w:lang w:val="en-GB" w:eastAsia="en-GB"/>
        </w:rPr>
        <w:t>VATable</w:t>
      </w:r>
      <w:proofErr w:type="spellEnd"/>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DE06B0" w:rsidRPr="00DE06B0" w:rsidRDefault="00DE06B0" w:rsidP="00DE06B0">
      <w:pPr>
        <w:rPr>
          <w:rFonts w:eastAsia="Times New Roman" w:cs="Times New Roman"/>
          <w:b/>
          <w:color w:val="333333"/>
          <w:sz w:val="22"/>
          <w:szCs w:val="22"/>
          <w:u w:val="single"/>
          <w:lang w:val="en-GB" w:eastAsia="en-GB"/>
        </w:rPr>
      </w:pPr>
      <w:r w:rsidRPr="00DE06B0">
        <w:rPr>
          <w:rFonts w:eastAsia="Times New Roman" w:cs="Times New Roman"/>
          <w:b/>
          <w:color w:val="000000"/>
          <w:sz w:val="22"/>
          <w:szCs w:val="22"/>
          <w:u w:val="single"/>
          <w:lang w:val="en-GB" w:eastAsia="en-GB"/>
        </w:rPr>
        <w:t>2 Future funding for the Federation itself</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The support from our CCG ends this year - we are fortunate to have managed to spread it into the third year. </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 xml:space="preserve">However, in order to sustain our existence, we need to charge out James' time to the CCG, our members for project management (as above) </w:t>
      </w:r>
      <w:proofErr w:type="spellStart"/>
      <w:r w:rsidRPr="00DE06B0">
        <w:rPr>
          <w:rFonts w:eastAsia="Times New Roman" w:cs="Times New Roman"/>
          <w:color w:val="000000"/>
          <w:sz w:val="22"/>
          <w:szCs w:val="22"/>
          <w:lang w:val="en-GB" w:eastAsia="en-GB"/>
        </w:rPr>
        <w:t>etc</w:t>
      </w:r>
      <w:proofErr w:type="spellEnd"/>
      <w:r w:rsidRPr="00DE06B0">
        <w:rPr>
          <w:rFonts w:eastAsia="Times New Roman" w:cs="Times New Roman"/>
          <w:color w:val="000000"/>
          <w:sz w:val="22"/>
          <w:szCs w:val="22"/>
          <w:lang w:val="en-GB" w:eastAsia="en-GB"/>
        </w:rPr>
        <w:t>, as consultancy work.</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Although we are still trying to figure out what rate we can charge at (any tips would be appreciated) it would be a reasonable amount over the year.</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b/>
          <w:bCs/>
          <w:color w:val="000000"/>
          <w:sz w:val="22"/>
          <w:szCs w:val="22"/>
          <w:lang w:val="en-GB" w:eastAsia="en-GB"/>
        </w:rPr>
        <w:t>Question -Would this be a vatable supply? If so, given that we have other small pots of 5% admin income, the cumulative total would at some point take us over the registration threshold. </w:t>
      </w:r>
    </w:p>
    <w:p w:rsidR="00DE06B0" w:rsidRPr="00DE06B0" w:rsidRDefault="00DE06B0" w:rsidP="00DE06B0">
      <w:pPr>
        <w:rPr>
          <w:rFonts w:eastAsia="Times New Roman" w:cs="Times New Roman"/>
          <w:color w:val="FF0000"/>
          <w:sz w:val="22"/>
          <w:szCs w:val="22"/>
          <w:lang w:val="en-GB" w:eastAsia="en-GB"/>
        </w:rPr>
      </w:pP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 xml:space="preserve">If you are going to charge out staff, then this will be a </w:t>
      </w:r>
      <w:proofErr w:type="spellStart"/>
      <w:r w:rsidRPr="00DE06B0">
        <w:rPr>
          <w:rFonts w:eastAsia="Times New Roman" w:cs="Times New Roman"/>
          <w:color w:val="FF0000"/>
          <w:sz w:val="22"/>
          <w:szCs w:val="22"/>
          <w:lang w:val="en-GB" w:eastAsia="en-GB"/>
        </w:rPr>
        <w:t>VATable</w:t>
      </w:r>
      <w:proofErr w:type="spellEnd"/>
      <w:r w:rsidRPr="00DE06B0">
        <w:rPr>
          <w:rFonts w:eastAsia="Times New Roman" w:cs="Times New Roman"/>
          <w:color w:val="FF0000"/>
          <w:sz w:val="22"/>
          <w:szCs w:val="22"/>
          <w:lang w:val="en-GB" w:eastAsia="en-GB"/>
        </w:rPr>
        <w:t xml:space="preserve"> supply – the work being charged out for is consultancy and project management = admin</w:t>
      </w:r>
    </w:p>
    <w:p w:rsidR="00DE06B0" w:rsidRPr="00DE06B0" w:rsidRDefault="00DE06B0" w:rsidP="00DE06B0">
      <w:pPr>
        <w:rPr>
          <w:rFonts w:eastAsia="Times New Roman" w:cs="Times New Roman"/>
          <w:color w:val="333333"/>
          <w:sz w:val="22"/>
          <w:szCs w:val="22"/>
          <w:lang w:val="en-GB" w:eastAsia="en-GB"/>
        </w:rPr>
      </w:pPr>
      <w:proofErr w:type="spellStart"/>
      <w:r w:rsidRPr="00DE06B0">
        <w:rPr>
          <w:rFonts w:eastAsia="Times New Roman" w:cs="Times New Roman"/>
          <w:color w:val="FF0000"/>
          <w:sz w:val="22"/>
          <w:szCs w:val="22"/>
          <w:lang w:val="en-GB" w:eastAsia="en-GB"/>
        </w:rPr>
        <w:t>Lets</w:t>
      </w:r>
      <w:proofErr w:type="spellEnd"/>
      <w:r w:rsidRPr="00DE06B0">
        <w:rPr>
          <w:rFonts w:eastAsia="Times New Roman" w:cs="Times New Roman"/>
          <w:color w:val="FF0000"/>
          <w:sz w:val="22"/>
          <w:szCs w:val="22"/>
          <w:lang w:val="en-GB" w:eastAsia="en-GB"/>
        </w:rPr>
        <w:t xml:space="preserve"> discuss potential mechanisms, but need to bear in mind cost will be (Gross + NIC + Pension) / (260 days less (holidays + bank holidays)) = daily cost, onto which need to make margin. Sorry if this is obvious, but sometimes the add-ons and holiday elements are missed</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If you breach £85k, then will exceed VAT threshold and need to register.</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DE06B0" w:rsidRPr="00DE06B0" w:rsidRDefault="00DE06B0" w:rsidP="00DE06B0">
      <w:pPr>
        <w:rPr>
          <w:rFonts w:eastAsia="Times New Roman" w:cs="Times New Roman"/>
          <w:b/>
          <w:color w:val="333333"/>
          <w:sz w:val="22"/>
          <w:szCs w:val="22"/>
          <w:u w:val="single"/>
          <w:lang w:val="en-GB" w:eastAsia="en-GB"/>
        </w:rPr>
      </w:pPr>
      <w:r w:rsidRPr="00DE06B0">
        <w:rPr>
          <w:rFonts w:eastAsia="Times New Roman" w:cs="Times New Roman"/>
          <w:b/>
          <w:color w:val="000000"/>
          <w:sz w:val="22"/>
          <w:szCs w:val="22"/>
          <w:u w:val="single"/>
          <w:lang w:val="en-GB" w:eastAsia="en-GB"/>
        </w:rPr>
        <w:t>3 Supporting practices with a Data Protection Officer</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With GDPR very imminent, we were considering ways of assisting our members with a DPO. </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 xml:space="preserve">We have 2 options - 1 being to employ a member of staff who would </w:t>
      </w:r>
      <w:proofErr w:type="spellStart"/>
      <w:r w:rsidRPr="00DE06B0">
        <w:rPr>
          <w:rFonts w:eastAsia="Times New Roman" w:cs="Times New Roman"/>
          <w:color w:val="000000"/>
          <w:sz w:val="22"/>
          <w:szCs w:val="22"/>
          <w:lang w:val="en-GB" w:eastAsia="en-GB"/>
        </w:rPr>
        <w:t>fulfill</w:t>
      </w:r>
      <w:proofErr w:type="spellEnd"/>
      <w:r w:rsidRPr="00DE06B0">
        <w:rPr>
          <w:rFonts w:eastAsia="Times New Roman" w:cs="Times New Roman"/>
          <w:color w:val="000000"/>
          <w:sz w:val="22"/>
          <w:szCs w:val="22"/>
          <w:lang w:val="en-GB" w:eastAsia="en-GB"/>
        </w:rPr>
        <w:t xml:space="preserve"> the role of DPO to member practices (at a cost) and also assist James when not doing DPO work.  </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Option 2 being to 'buy-in' the services from a 3rd party and re-charge it out to the member practices. </w:t>
      </w:r>
    </w:p>
    <w:p w:rsidR="00DE06B0" w:rsidRPr="00DE06B0" w:rsidRDefault="00DE06B0" w:rsidP="00DE06B0">
      <w:pPr>
        <w:rPr>
          <w:rFonts w:eastAsia="Times New Roman" w:cs="Times New Roman"/>
          <w:color w:val="000000"/>
          <w:sz w:val="22"/>
          <w:szCs w:val="22"/>
          <w:lang w:val="en-GB" w:eastAsia="en-GB"/>
        </w:rPr>
      </w:pP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Although Option 1 is still a possibility, with the deadline looming for Friday, we are going to go with Option 2 for the time being.</w:t>
      </w:r>
    </w:p>
    <w:p w:rsidR="00DE06B0" w:rsidRPr="00DE06B0" w:rsidRDefault="00DE06B0" w:rsidP="00DE06B0">
      <w:pPr>
        <w:rPr>
          <w:rFonts w:eastAsia="Times New Roman" w:cs="Times New Roman"/>
          <w:b/>
          <w:bCs/>
          <w:color w:val="000000"/>
          <w:sz w:val="22"/>
          <w:szCs w:val="22"/>
          <w:lang w:val="en-GB" w:eastAsia="en-GB"/>
        </w:rPr>
      </w:pP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b/>
          <w:bCs/>
          <w:color w:val="000000"/>
          <w:sz w:val="22"/>
          <w:szCs w:val="22"/>
          <w:lang w:val="en-GB" w:eastAsia="en-GB"/>
        </w:rPr>
        <w:t>Question - we are assuming that the re-charge would be a vatable supply - is this correct?  </w:t>
      </w:r>
    </w:p>
    <w:p w:rsidR="00DE06B0" w:rsidRPr="00DE06B0" w:rsidRDefault="00DE06B0" w:rsidP="00DE06B0">
      <w:pPr>
        <w:rPr>
          <w:rFonts w:eastAsia="Times New Roman" w:cs="Times New Roman"/>
          <w:color w:val="FF0000"/>
          <w:sz w:val="22"/>
          <w:szCs w:val="22"/>
          <w:lang w:val="en-GB" w:eastAsia="en-GB"/>
        </w:rPr>
      </w:pP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I would expect so, yes unfortunately. Could the third party not bill to practices direct?</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DE06B0" w:rsidRPr="00DE06B0" w:rsidRDefault="00DE06B0" w:rsidP="00DE06B0">
      <w:pPr>
        <w:spacing w:after="200" w:line="276" w:lineRule="auto"/>
        <w:rPr>
          <w:rFonts w:eastAsia="Times New Roman" w:cs="Times New Roman"/>
          <w:b/>
          <w:color w:val="000000"/>
          <w:sz w:val="22"/>
          <w:szCs w:val="22"/>
          <w:u w:val="single"/>
          <w:lang w:val="en-GB" w:eastAsia="en-GB"/>
        </w:rPr>
      </w:pPr>
      <w:r w:rsidRPr="00DE06B0">
        <w:rPr>
          <w:rFonts w:eastAsia="Times New Roman" w:cs="Times New Roman"/>
          <w:b/>
          <w:color w:val="000000"/>
          <w:sz w:val="22"/>
          <w:szCs w:val="22"/>
          <w:u w:val="single"/>
          <w:lang w:val="en-GB" w:eastAsia="en-GB"/>
        </w:rPr>
        <w:br w:type="page"/>
      </w:r>
    </w:p>
    <w:p w:rsidR="00DE06B0" w:rsidRPr="00DE06B0" w:rsidRDefault="00DE06B0" w:rsidP="00DE06B0">
      <w:pPr>
        <w:rPr>
          <w:rFonts w:eastAsia="Times New Roman" w:cs="Times New Roman"/>
          <w:b/>
          <w:color w:val="333333"/>
          <w:sz w:val="22"/>
          <w:szCs w:val="22"/>
          <w:u w:val="single"/>
          <w:lang w:val="en-GB" w:eastAsia="en-GB"/>
        </w:rPr>
      </w:pPr>
      <w:r w:rsidRPr="00DE06B0">
        <w:rPr>
          <w:rFonts w:eastAsia="Times New Roman" w:cs="Times New Roman"/>
          <w:b/>
          <w:color w:val="000000"/>
          <w:sz w:val="22"/>
          <w:szCs w:val="22"/>
          <w:u w:val="single"/>
          <w:lang w:val="en-GB" w:eastAsia="en-GB"/>
        </w:rPr>
        <w:lastRenderedPageBreak/>
        <w:t>4 VAT</w:t>
      </w:r>
    </w:p>
    <w:p w:rsidR="00DE06B0" w:rsidRPr="00DE06B0" w:rsidRDefault="00DE06B0" w:rsidP="00DE06B0">
      <w:pPr>
        <w:rPr>
          <w:rFonts w:eastAsia="Times New Roman" w:cs="Times New Roman"/>
          <w:color w:val="1F497D"/>
          <w:sz w:val="22"/>
          <w:szCs w:val="22"/>
          <w:lang w:val="en-GB" w:eastAsia="en-GB"/>
        </w:rPr>
      </w:pPr>
      <w:r w:rsidRPr="00DE06B0">
        <w:rPr>
          <w:rFonts w:eastAsia="Times New Roman" w:cs="Times New Roman"/>
          <w:color w:val="000000"/>
          <w:sz w:val="22"/>
          <w:szCs w:val="22"/>
          <w:lang w:val="en-GB" w:eastAsia="en-GB"/>
        </w:rPr>
        <w:t>On the basis that we do have to become VAT registered - I assume we will be partially exempt - so which sources of our income will NOT be subject to VAT?</w:t>
      </w:r>
      <w:r w:rsidRPr="00DE06B0">
        <w:rPr>
          <w:rFonts w:eastAsia="Times New Roman" w:cs="Times New Roman"/>
          <w:color w:val="1F497D"/>
          <w:sz w:val="22"/>
          <w:szCs w:val="22"/>
          <w:lang w:val="en-GB" w:eastAsia="en-GB"/>
        </w:rPr>
        <w:t> </w:t>
      </w:r>
    </w:p>
    <w:p w:rsidR="00DE06B0" w:rsidRPr="00DE06B0" w:rsidRDefault="00DE06B0" w:rsidP="00DE06B0">
      <w:pPr>
        <w:rPr>
          <w:rFonts w:eastAsia="Times New Roman" w:cs="Times New Roman"/>
          <w:color w:val="1F497D"/>
          <w:sz w:val="22"/>
          <w:szCs w:val="22"/>
          <w:lang w:val="en-GB" w:eastAsia="en-GB"/>
        </w:rPr>
      </w:pP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The CCG income has been argued as a ‘grant’ previously. If this remains the same, grant is outside scope of VAT and technically partial exemption doesn’t apply, but ‘business apportionment’ does. In many ways these are similar though.</w:t>
      </w:r>
    </w:p>
    <w:p w:rsidR="00DE06B0" w:rsidRPr="00DE06B0" w:rsidRDefault="00DE06B0" w:rsidP="00DE06B0">
      <w:pPr>
        <w:rPr>
          <w:rFonts w:eastAsia="Times New Roman" w:cs="Times New Roman"/>
          <w:color w:val="000000"/>
          <w:sz w:val="22"/>
          <w:szCs w:val="22"/>
          <w:lang w:val="en-GB" w:eastAsia="en-GB"/>
        </w:rPr>
      </w:pP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 xml:space="preserve">How much input VAT would we be able to reclaim? Would we be able to claim the whole of the input VAT on point 3 above - </w:t>
      </w:r>
      <w:proofErr w:type="spellStart"/>
      <w:r w:rsidRPr="00DE06B0">
        <w:rPr>
          <w:rFonts w:eastAsia="Times New Roman" w:cs="Times New Roman"/>
          <w:color w:val="000000"/>
          <w:sz w:val="22"/>
          <w:szCs w:val="22"/>
          <w:lang w:val="en-GB" w:eastAsia="en-GB"/>
        </w:rPr>
        <w:t>ie</w:t>
      </w:r>
      <w:proofErr w:type="spellEnd"/>
      <w:r w:rsidRPr="00DE06B0">
        <w:rPr>
          <w:rFonts w:eastAsia="Times New Roman" w:cs="Times New Roman"/>
          <w:color w:val="000000"/>
          <w:sz w:val="22"/>
          <w:szCs w:val="22"/>
          <w:lang w:val="en-GB" w:eastAsia="en-GB"/>
        </w:rPr>
        <w:t xml:space="preserve"> 3rd party DPO cost, as we would then recharge it out + VAT?</w:t>
      </w:r>
      <w:r w:rsidRPr="00DE06B0">
        <w:rPr>
          <w:rFonts w:eastAsia="Times New Roman" w:cs="Times New Roman"/>
          <w:color w:val="1F497D"/>
          <w:sz w:val="22"/>
          <w:szCs w:val="22"/>
          <w:lang w:val="en-GB" w:eastAsia="en-GB"/>
        </w:rPr>
        <w:t> </w:t>
      </w:r>
      <w:r w:rsidRPr="00DE06B0">
        <w:rPr>
          <w:rFonts w:eastAsia="Times New Roman" w:cs="Times New Roman"/>
          <w:color w:val="FF0000"/>
          <w:sz w:val="22"/>
          <w:szCs w:val="22"/>
          <w:lang w:val="en-GB" w:eastAsia="en-GB"/>
        </w:rPr>
        <w:t>Yes</w:t>
      </w:r>
    </w:p>
    <w:p w:rsidR="00DE06B0" w:rsidRPr="00DE06B0" w:rsidRDefault="00DE06B0" w:rsidP="00DE06B0">
      <w:pPr>
        <w:rPr>
          <w:rFonts w:eastAsia="Times New Roman" w:cs="Times New Roman"/>
          <w:b/>
          <w:bCs/>
          <w:color w:val="000000"/>
          <w:sz w:val="22"/>
          <w:szCs w:val="22"/>
          <w:lang w:val="en-GB" w:eastAsia="en-GB"/>
        </w:rPr>
      </w:pPr>
      <w:r w:rsidRPr="00DE06B0">
        <w:rPr>
          <w:rFonts w:eastAsia="Times New Roman" w:cs="Times New Roman"/>
          <w:b/>
          <w:bCs/>
          <w:color w:val="000000"/>
          <w:sz w:val="22"/>
          <w:szCs w:val="22"/>
          <w:lang w:val="en-GB" w:eastAsia="en-GB"/>
        </w:rPr>
        <w:t>Question - Is there a good time to register or delay until inevitable? In your experience, how have Federations who are VAT registered fared, given it's an added cost passed to Practices who are not in a position to claim it back? </w:t>
      </w:r>
    </w:p>
    <w:p w:rsidR="00DE06B0" w:rsidRPr="00DE06B0" w:rsidRDefault="00DE06B0" w:rsidP="00DE06B0">
      <w:pPr>
        <w:rPr>
          <w:rFonts w:eastAsia="Times New Roman" w:cs="Times New Roman"/>
          <w:b/>
          <w:bCs/>
          <w:color w:val="000000"/>
          <w:sz w:val="22"/>
          <w:szCs w:val="22"/>
          <w:lang w:val="en-GB" w:eastAsia="en-GB"/>
        </w:rPr>
      </w:pP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Realistically I would always suggest delay as long as you can before registering. Being VAT registered certainly impacts the ability of Federations to work in the way they might otherwise do if VAT wasn’t a problem and has actually led some to consider looking to a ‘divisional’ merger where many of the VAT problems can be overcome, for example having central shared back office functions is an obvious one – some have managed to get this to work for them, others haven’t.</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DE06B0" w:rsidRPr="00DE06B0" w:rsidRDefault="00DE06B0" w:rsidP="00DE06B0">
      <w:pPr>
        <w:rPr>
          <w:rFonts w:eastAsia="Times New Roman" w:cs="Times New Roman"/>
          <w:b/>
          <w:color w:val="333333"/>
          <w:sz w:val="22"/>
          <w:szCs w:val="22"/>
          <w:u w:val="single"/>
          <w:lang w:val="en-GB" w:eastAsia="en-GB"/>
        </w:rPr>
      </w:pPr>
      <w:r w:rsidRPr="00DE06B0">
        <w:rPr>
          <w:rFonts w:eastAsia="Times New Roman" w:cs="Times New Roman"/>
          <w:b/>
          <w:color w:val="000000"/>
          <w:sz w:val="22"/>
          <w:szCs w:val="22"/>
          <w:u w:val="single"/>
          <w:lang w:val="en-GB" w:eastAsia="en-GB"/>
        </w:rPr>
        <w:t xml:space="preserve">5 </w:t>
      </w:r>
      <w:proofErr w:type="gramStart"/>
      <w:r w:rsidRPr="00DE06B0">
        <w:rPr>
          <w:rFonts w:eastAsia="Times New Roman" w:cs="Times New Roman"/>
          <w:b/>
          <w:color w:val="000000"/>
          <w:sz w:val="22"/>
          <w:szCs w:val="22"/>
          <w:u w:val="single"/>
          <w:lang w:val="en-GB" w:eastAsia="en-GB"/>
        </w:rPr>
        <w:t>Provision</w:t>
      </w:r>
      <w:proofErr w:type="gramEnd"/>
      <w:r w:rsidRPr="00DE06B0">
        <w:rPr>
          <w:rFonts w:eastAsia="Times New Roman" w:cs="Times New Roman"/>
          <w:b/>
          <w:color w:val="000000"/>
          <w:sz w:val="22"/>
          <w:szCs w:val="22"/>
          <w:u w:val="single"/>
          <w:lang w:val="en-GB" w:eastAsia="en-GB"/>
        </w:rPr>
        <w:t xml:space="preserve"> of Diabetic Nurses</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Following on from your comments in our last communication (Appendix 1), the Federation has taken itself out of the loop and the employing GP Practice will directly invoice the other Practices.</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The Federation will just charge for managing/facilitation the project.</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Thank you for the guidance in this.</w:t>
      </w:r>
    </w:p>
    <w:p w:rsidR="00DE06B0" w:rsidRPr="00DE06B0" w:rsidRDefault="00DE06B0" w:rsidP="00DE06B0">
      <w:pPr>
        <w:rPr>
          <w:rFonts w:eastAsia="Times New Roman" w:cs="Times New Roman"/>
          <w:color w:val="FF0000"/>
          <w:sz w:val="22"/>
          <w:szCs w:val="22"/>
          <w:lang w:val="en-GB" w:eastAsia="en-GB"/>
        </w:rPr>
      </w:pP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Good news, thanks for update</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DE06B0" w:rsidRPr="00DE06B0" w:rsidRDefault="00DE06B0" w:rsidP="00DE06B0">
      <w:pPr>
        <w:rPr>
          <w:rFonts w:eastAsia="Times New Roman" w:cs="Times New Roman"/>
          <w:b/>
          <w:color w:val="333333"/>
          <w:sz w:val="22"/>
          <w:szCs w:val="22"/>
          <w:u w:val="single"/>
          <w:lang w:val="en-GB" w:eastAsia="en-GB"/>
        </w:rPr>
      </w:pPr>
      <w:r w:rsidRPr="00DE06B0">
        <w:rPr>
          <w:rFonts w:eastAsia="Times New Roman" w:cs="Times New Roman"/>
          <w:b/>
          <w:color w:val="000000"/>
          <w:sz w:val="22"/>
          <w:szCs w:val="22"/>
          <w:u w:val="single"/>
          <w:lang w:val="en-GB" w:eastAsia="en-GB"/>
        </w:rPr>
        <w:t>6 H Pylori </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000000"/>
          <w:sz w:val="22"/>
          <w:szCs w:val="22"/>
          <w:lang w:val="en-GB" w:eastAsia="en-GB"/>
        </w:rPr>
        <w:t>The Federation are about to be awarded the contract for managing H Pylori services in our CCG.  We aim to process this 'back-to-back' as with the other contracts.</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FF0000"/>
          <w:sz w:val="22"/>
          <w:szCs w:val="22"/>
          <w:lang w:val="en-GB" w:eastAsia="en-GB"/>
        </w:rPr>
        <w:t>Thanks – sounds reasonable</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DE06B0" w:rsidRPr="00DE06B0" w:rsidRDefault="00DE06B0" w:rsidP="00DE06B0">
      <w:pPr>
        <w:rPr>
          <w:rFonts w:eastAsia="Times New Roman" w:cs="Times New Roman"/>
          <w:b/>
          <w:color w:val="333333"/>
          <w:sz w:val="22"/>
          <w:szCs w:val="22"/>
          <w:u w:val="single"/>
          <w:lang w:val="en-GB" w:eastAsia="en-GB"/>
        </w:rPr>
      </w:pPr>
      <w:r w:rsidRPr="00DE06B0">
        <w:rPr>
          <w:rFonts w:eastAsia="Times New Roman" w:cs="Times New Roman"/>
          <w:b/>
          <w:color w:val="000000"/>
          <w:sz w:val="22"/>
          <w:szCs w:val="22"/>
          <w:u w:val="single"/>
          <w:lang w:val="en-GB" w:eastAsia="en-GB"/>
        </w:rPr>
        <w:t>7 Patient App project </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 xml:space="preserve">A 3rd party supplier will provide training/patient health app </w:t>
      </w:r>
      <w:proofErr w:type="spellStart"/>
      <w:r w:rsidRPr="00DE06B0">
        <w:rPr>
          <w:rFonts w:eastAsia="Times New Roman" w:cs="Times New Roman"/>
          <w:sz w:val="22"/>
          <w:szCs w:val="22"/>
          <w:lang w:val="en-GB" w:eastAsia="en-GB"/>
        </w:rPr>
        <w:t>etc</w:t>
      </w:r>
      <w:proofErr w:type="spellEnd"/>
      <w:r w:rsidRPr="00DE06B0">
        <w:rPr>
          <w:rFonts w:eastAsia="Times New Roman" w:cs="Times New Roman"/>
          <w:sz w:val="22"/>
          <w:szCs w:val="22"/>
          <w:lang w:val="en-GB" w:eastAsia="en-GB"/>
        </w:rPr>
        <w:t xml:space="preserve"> to the Practices involved. The Supplier will invoice us (standard vat invoice) and we will invoice the respective CCG/Council for the gross amount (no vat). </w:t>
      </w:r>
      <w:proofErr w:type="gramStart"/>
      <w:r w:rsidRPr="00DE06B0">
        <w:rPr>
          <w:rFonts w:eastAsia="Times New Roman" w:cs="Times New Roman"/>
          <w:sz w:val="22"/>
          <w:szCs w:val="22"/>
          <w:lang w:val="en-GB" w:eastAsia="en-GB"/>
        </w:rPr>
        <w:t>So, 'back-to-back' as before.</w:t>
      </w:r>
      <w:proofErr w:type="gramEnd"/>
      <w:r w:rsidRPr="00DE06B0">
        <w:rPr>
          <w:rFonts w:eastAsia="Times New Roman" w:cs="Times New Roman"/>
          <w:sz w:val="22"/>
          <w:szCs w:val="22"/>
          <w:lang w:val="en-GB" w:eastAsia="en-GB"/>
        </w:rPr>
        <w:t xml:space="preserve"> We will then invoice the CCG/Council for our admin charge separately.  Please can you confirm that continuing this way is still, arguably, ok.  Our cumulative total for the admin charge is well within the VAT registration threshold.</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This is similar to the treatment we have discussed before. Crucially the third party (‘3P’) provides the services to the practices and whilst they invoice ELR, ELR will recharge the amount in full to the CCG and ELR will only pay the invoice to the 3P once the CCG has paid the cash to ELR.  In this instance, the treatment can be argued to be that of an ‘agent’, and so this is still the best way of dealing with this in my view.</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DE06B0" w:rsidRPr="00DE06B0" w:rsidRDefault="00DE06B0" w:rsidP="00DE06B0">
      <w:pPr>
        <w:rPr>
          <w:rFonts w:eastAsia="Times New Roman" w:cs="Times New Roman"/>
          <w:sz w:val="22"/>
          <w:szCs w:val="22"/>
          <w:u w:val="single"/>
          <w:lang w:val="en-GB" w:eastAsia="en-GB"/>
        </w:rPr>
      </w:pPr>
      <w:r w:rsidRPr="00DE06B0">
        <w:rPr>
          <w:rFonts w:eastAsia="Times New Roman" w:cs="Times New Roman"/>
          <w:b/>
          <w:bCs/>
          <w:sz w:val="22"/>
          <w:szCs w:val="22"/>
          <w:u w:val="single"/>
          <w:lang w:val="en-GB" w:eastAsia="en-GB"/>
        </w:rPr>
        <w:t>8 Becoming an Employing Authority</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You are right that to employ nursing staff direct it is likely you will need to be in a position to offer an NHS pension.</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This used to be virtually impossible for federations, but more recently the pensions agency have recognised the need for this, and there is a decent guide available at the following location</w:t>
      </w:r>
    </w:p>
    <w:p w:rsidR="00DE06B0" w:rsidRPr="00DE06B0" w:rsidRDefault="00DE06B0" w:rsidP="00DE06B0">
      <w:pPr>
        <w:rPr>
          <w:rFonts w:eastAsia="Times New Roman" w:cs="Times New Roman"/>
          <w:color w:val="333333"/>
          <w:sz w:val="22"/>
          <w:szCs w:val="22"/>
          <w:lang w:val="en-GB" w:eastAsia="en-GB"/>
        </w:rPr>
      </w:pPr>
      <w:hyperlink r:id="rId16" w:tgtFrame="_blank" w:history="1">
        <w:r w:rsidRPr="00DE06B0">
          <w:rPr>
            <w:rFonts w:eastAsia="Times New Roman" w:cs="Times New Roman"/>
            <w:color w:val="FF0000"/>
            <w:sz w:val="22"/>
            <w:szCs w:val="22"/>
            <w:u w:val="single"/>
            <w:lang w:val="en-GB" w:eastAsia="en-GB"/>
          </w:rPr>
          <w:t>https://www.england.nhs.uk/commissioning/wp-content/uploads/sites/12/2015/11/gp-fedrtion-pension-qa.pdf</w:t>
        </w:r>
      </w:hyperlink>
    </w:p>
    <w:p w:rsidR="00DE06B0" w:rsidRPr="00DE06B0" w:rsidRDefault="00DE06B0" w:rsidP="00DE06B0">
      <w:pPr>
        <w:jc w:val="center"/>
        <w:rPr>
          <w:rFonts w:eastAsia="Times New Roman" w:cs="Times New Roman"/>
          <w:b/>
          <w:color w:val="333333"/>
          <w:sz w:val="22"/>
          <w:szCs w:val="22"/>
          <w:u w:val="single"/>
          <w:lang w:val="en-GB" w:eastAsia="en-GB"/>
        </w:rPr>
      </w:pPr>
      <w:r w:rsidRPr="00DE06B0">
        <w:rPr>
          <w:rFonts w:eastAsia="Times New Roman" w:cs="Times New Roman"/>
          <w:b/>
          <w:color w:val="333333"/>
          <w:sz w:val="22"/>
          <w:szCs w:val="22"/>
          <w:u w:val="single"/>
          <w:lang w:val="en-GB" w:eastAsia="en-GB"/>
        </w:rPr>
        <w:lastRenderedPageBreak/>
        <w:t xml:space="preserve">Appendix 1 – Diabetic Nurse </w:t>
      </w:r>
      <w:proofErr w:type="gramStart"/>
      <w:r w:rsidRPr="00DE06B0">
        <w:rPr>
          <w:rFonts w:eastAsia="Times New Roman" w:cs="Times New Roman"/>
          <w:b/>
          <w:color w:val="333333"/>
          <w:sz w:val="22"/>
          <w:szCs w:val="22"/>
          <w:u w:val="single"/>
          <w:lang w:val="en-GB" w:eastAsia="en-GB"/>
        </w:rPr>
        <w:t>scheme</w:t>
      </w:r>
      <w:proofErr w:type="gramEnd"/>
      <w:r w:rsidRPr="00DE06B0">
        <w:rPr>
          <w:rFonts w:eastAsia="Times New Roman" w:cs="Times New Roman"/>
          <w:b/>
          <w:color w:val="333333"/>
          <w:sz w:val="22"/>
          <w:szCs w:val="22"/>
          <w:u w:val="single"/>
          <w:lang w:val="en-GB" w:eastAsia="en-GB"/>
        </w:rPr>
        <w:t xml:space="preserve"> advice</w:t>
      </w:r>
    </w:p>
    <w:p w:rsidR="00DE06B0" w:rsidRPr="00DE06B0" w:rsidRDefault="00DE06B0" w:rsidP="00DE06B0">
      <w:pPr>
        <w:jc w:val="center"/>
        <w:rPr>
          <w:rFonts w:eastAsia="Times New Roman" w:cs="Times New Roman"/>
          <w:b/>
          <w:color w:val="333333"/>
          <w:sz w:val="22"/>
          <w:szCs w:val="22"/>
          <w:u w:val="single"/>
          <w:lang w:val="en-GB" w:eastAsia="en-GB"/>
        </w:rPr>
      </w:pP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The 3rd scheme is for the Provision of Diabetic nurses, whereby the Federation is acting as.......agent/facilitator???</w:t>
      </w:r>
    </w:p>
    <w:p w:rsidR="00DE06B0" w:rsidRPr="00DE06B0" w:rsidRDefault="00DE06B0" w:rsidP="00DE06B0">
      <w:pPr>
        <w:rPr>
          <w:rFonts w:eastAsia="Times New Roman" w:cs="Times New Roman"/>
          <w:sz w:val="22"/>
          <w:szCs w:val="22"/>
          <w:lang w:val="en-GB" w:eastAsia="en-GB"/>
        </w:rPr>
      </w:pPr>
      <w:r w:rsidRPr="00DE06B0">
        <w:rPr>
          <w:rFonts w:eastAsia="Times New Roman" w:cs="Times New Roman"/>
          <w:sz w:val="22"/>
          <w:szCs w:val="22"/>
          <w:lang w:val="en-GB" w:eastAsia="en-GB"/>
        </w:rPr>
        <w:t>The funding is held by the CCG for the provision of diabetic nursing.  One of our member practices is going to employ the nurses and we are also going use nurses provided by UHL.  These nurses will the work across the various practices that signed up to the scheme. I believe the employer practice/UHL will charge us for the cost of providing the nurses and we will invoice the CCG for the funding to cover the cost (back-to-back) and then invoice separately for our admin/service fee.  Please can you clarify/confirm that the way we deal with this (</w:t>
      </w:r>
      <w:proofErr w:type="spellStart"/>
      <w:r w:rsidRPr="00DE06B0">
        <w:rPr>
          <w:rFonts w:eastAsia="Times New Roman" w:cs="Times New Roman"/>
          <w:sz w:val="22"/>
          <w:szCs w:val="22"/>
          <w:lang w:val="en-GB" w:eastAsia="en-GB"/>
        </w:rPr>
        <w:t>ie</w:t>
      </w:r>
      <w:proofErr w:type="spellEnd"/>
      <w:r w:rsidRPr="00DE06B0">
        <w:rPr>
          <w:rFonts w:eastAsia="Times New Roman" w:cs="Times New Roman"/>
          <w:sz w:val="22"/>
          <w:szCs w:val="22"/>
          <w:lang w:val="en-GB" w:eastAsia="en-GB"/>
        </w:rPr>
        <w:t> same as above) is ok or are there other implications?</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333333"/>
          <w:sz w:val="22"/>
          <w:szCs w:val="22"/>
          <w:lang w:val="en-GB" w:eastAsia="en-GB"/>
        </w:rPr>
        <w:t> </w:t>
      </w:r>
      <w:r w:rsidRPr="00DE06B0">
        <w:rPr>
          <w:rFonts w:eastAsia="Times New Roman" w:cs="Times New Roman"/>
          <w:color w:val="FF0000"/>
          <w:sz w:val="22"/>
          <w:szCs w:val="22"/>
          <w:lang w:val="en-GB" w:eastAsia="en-GB"/>
        </w:rPr>
        <w:t>This is a bit different, and you can’t use the same way around the problem as you do above unfortunately. Therefore the following would apply:</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w:t>
      </w:r>
    </w:p>
    <w:p w:rsidR="00DE06B0" w:rsidRPr="00DE06B0" w:rsidRDefault="00DE06B0" w:rsidP="00DE06B0">
      <w:pPr>
        <w:ind w:left="720" w:hanging="360"/>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Supply of nurse by GP practice to ELR                                     - normal rules – potentially standard rated</w:t>
      </w:r>
    </w:p>
    <w:p w:rsidR="00DE06B0" w:rsidRPr="00DE06B0" w:rsidRDefault="00DE06B0" w:rsidP="00DE06B0">
      <w:pPr>
        <w:ind w:left="720" w:hanging="360"/>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Supply of nurse by ELR to practices (paid by CCG)             - normal rules – potentially standard rated</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There is an ‘extra-statutory concession’ though in respect of the supplies of nurses. I have attached this for reference, but it essentially says that the supply of nurses to a GP surgery can be treated as </w:t>
      </w:r>
      <w:r w:rsidRPr="00DE06B0">
        <w:rPr>
          <w:rFonts w:eastAsia="Times New Roman" w:cs="Times New Roman"/>
          <w:color w:val="FF0000"/>
          <w:sz w:val="22"/>
          <w:szCs w:val="22"/>
          <w:u w:val="single"/>
          <w:lang w:val="en-GB" w:eastAsia="en-GB"/>
        </w:rPr>
        <w:t>exempt</w:t>
      </w:r>
      <w:r w:rsidRPr="00DE06B0">
        <w:rPr>
          <w:rFonts w:eastAsia="Times New Roman" w:cs="Times New Roman"/>
          <w:color w:val="FF0000"/>
          <w:sz w:val="22"/>
          <w:szCs w:val="22"/>
          <w:lang w:val="en-GB" w:eastAsia="en-GB"/>
        </w:rPr>
        <w:t> for VAT purposes. However, only the </w:t>
      </w:r>
      <w:r w:rsidRPr="00DE06B0">
        <w:rPr>
          <w:rFonts w:eastAsia="Times New Roman" w:cs="Times New Roman"/>
          <w:color w:val="FF0000"/>
          <w:sz w:val="22"/>
          <w:szCs w:val="22"/>
          <w:u w:val="single"/>
          <w:lang w:val="en-GB" w:eastAsia="en-GB"/>
        </w:rPr>
        <w:t>final</w:t>
      </w:r>
      <w:r w:rsidRPr="00DE06B0">
        <w:rPr>
          <w:rFonts w:eastAsia="Times New Roman" w:cs="Times New Roman"/>
          <w:color w:val="FF0000"/>
          <w:sz w:val="22"/>
          <w:szCs w:val="22"/>
          <w:lang w:val="en-GB" w:eastAsia="en-GB"/>
        </w:rPr>
        <w:t> supply can be treated in this way, so using your example:</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w:t>
      </w:r>
    </w:p>
    <w:p w:rsidR="00DE06B0" w:rsidRPr="00DE06B0" w:rsidRDefault="00DE06B0" w:rsidP="00DE06B0">
      <w:pPr>
        <w:ind w:left="720" w:hanging="360"/>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Supply of nurse by GP to ELR                                                      - normal rules – potentially standard rated</w:t>
      </w:r>
    </w:p>
    <w:p w:rsidR="00DE06B0" w:rsidRPr="00DE06B0" w:rsidRDefault="00DE06B0" w:rsidP="00DE06B0">
      <w:pPr>
        <w:ind w:left="720" w:hanging="360"/>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Supply of nurse by ELR to practices (paid by CCG)             - concession could be used to treat as exempt from VAT </w:t>
      </w:r>
      <w:r w:rsidRPr="00DE06B0">
        <w:rPr>
          <w:rFonts w:eastAsia="Times New Roman" w:cs="Times New Roman"/>
          <w:b/>
          <w:bCs/>
          <w:color w:val="FF0000"/>
          <w:sz w:val="22"/>
          <w:szCs w:val="22"/>
          <w:lang w:val="en-GB" w:eastAsia="en-GB"/>
        </w:rPr>
        <w:t>BUT only is ELR is CQC registered</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I understand that ELR is not currently CQC registered. </w:t>
      </w:r>
      <w:r w:rsidRPr="00DE06B0">
        <w:rPr>
          <w:rFonts w:eastAsia="Times New Roman" w:cs="Times New Roman"/>
          <w:b/>
          <w:bCs/>
          <w:color w:val="FF0000"/>
          <w:sz w:val="22"/>
          <w:szCs w:val="22"/>
          <w:u w:val="single"/>
          <w:lang w:val="en-GB" w:eastAsia="en-GB"/>
        </w:rPr>
        <w:t>Therefore the concession cannot be used</w:t>
      </w:r>
      <w:r w:rsidRPr="00DE06B0">
        <w:rPr>
          <w:rFonts w:eastAsia="Times New Roman" w:cs="Times New Roman"/>
          <w:color w:val="FF0000"/>
          <w:sz w:val="22"/>
          <w:szCs w:val="22"/>
          <w:lang w:val="en-GB" w:eastAsia="en-GB"/>
        </w:rPr>
        <w:t> for the suggested fact pattern and all supplies would be subject to VAT</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xml:space="preserve">However, </w:t>
      </w:r>
      <w:proofErr w:type="gramStart"/>
      <w:r w:rsidRPr="00DE06B0">
        <w:rPr>
          <w:rFonts w:eastAsia="Times New Roman" w:cs="Times New Roman"/>
          <w:color w:val="FF0000"/>
          <w:sz w:val="22"/>
          <w:szCs w:val="22"/>
          <w:lang w:val="en-GB" w:eastAsia="en-GB"/>
        </w:rPr>
        <w:t>If</w:t>
      </w:r>
      <w:proofErr w:type="gramEnd"/>
      <w:r w:rsidRPr="00DE06B0">
        <w:rPr>
          <w:rFonts w:eastAsia="Times New Roman" w:cs="Times New Roman"/>
          <w:color w:val="FF0000"/>
          <w:sz w:val="22"/>
          <w:szCs w:val="22"/>
          <w:lang w:val="en-GB" w:eastAsia="en-GB"/>
        </w:rPr>
        <w:t xml:space="preserve"> the employing GP practice supplied the nurse direct to the practices, the concession could then be used as they would be making a final supply and they would be CQC registered.</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xml:space="preserve">This may be the best way to treat it. ELR can still deal with the paperwork and can then receive a fee for putting this together (which would be </w:t>
      </w:r>
      <w:proofErr w:type="spellStart"/>
      <w:r w:rsidRPr="00DE06B0">
        <w:rPr>
          <w:rFonts w:eastAsia="Times New Roman" w:cs="Times New Roman"/>
          <w:color w:val="FF0000"/>
          <w:sz w:val="22"/>
          <w:szCs w:val="22"/>
          <w:lang w:val="en-GB" w:eastAsia="en-GB"/>
        </w:rPr>
        <w:t>VATable</w:t>
      </w:r>
      <w:proofErr w:type="spellEnd"/>
      <w:r w:rsidRPr="00DE06B0">
        <w:rPr>
          <w:rFonts w:eastAsia="Times New Roman" w:cs="Times New Roman"/>
          <w:color w:val="FF0000"/>
          <w:sz w:val="22"/>
          <w:szCs w:val="22"/>
          <w:lang w:val="en-GB" w:eastAsia="en-GB"/>
        </w:rPr>
        <w:t xml:space="preserve"> under normal rules), even though the cash doesn’t pass through you. Is this worth some consideration?</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w:t>
      </w:r>
    </w:p>
    <w:p w:rsidR="00DE06B0" w:rsidRPr="00DE06B0" w:rsidRDefault="00DE06B0" w:rsidP="00DE06B0">
      <w:pPr>
        <w:rPr>
          <w:rFonts w:eastAsia="Times New Roman" w:cs="Times New Roman"/>
          <w:color w:val="FF0000"/>
          <w:sz w:val="22"/>
          <w:szCs w:val="22"/>
          <w:lang w:val="en-GB" w:eastAsia="en-GB"/>
        </w:rPr>
      </w:pPr>
      <w:r w:rsidRPr="00DE06B0">
        <w:rPr>
          <w:rFonts w:eastAsia="Times New Roman" w:cs="Times New Roman"/>
          <w:color w:val="FF0000"/>
          <w:sz w:val="22"/>
          <w:szCs w:val="22"/>
          <w:lang w:val="en-GB" w:eastAsia="en-GB"/>
        </w:rPr>
        <w:t xml:space="preserve"> As an aside, the practice that is employing the nurse is exposing themselves to additional risk here, </w:t>
      </w:r>
      <w:proofErr w:type="spellStart"/>
      <w:r w:rsidRPr="00DE06B0">
        <w:rPr>
          <w:rFonts w:eastAsia="Times New Roman" w:cs="Times New Roman"/>
          <w:color w:val="FF0000"/>
          <w:sz w:val="22"/>
          <w:szCs w:val="22"/>
          <w:lang w:val="en-GB" w:eastAsia="en-GB"/>
        </w:rPr>
        <w:t>eg</w:t>
      </w:r>
      <w:proofErr w:type="spellEnd"/>
      <w:r w:rsidRPr="00DE06B0">
        <w:rPr>
          <w:rFonts w:eastAsia="Times New Roman" w:cs="Times New Roman"/>
          <w:color w:val="FF0000"/>
          <w:sz w:val="22"/>
          <w:szCs w:val="22"/>
          <w:lang w:val="en-GB" w:eastAsia="en-GB"/>
        </w:rPr>
        <w:t>, employment liabilities, sick pay, redundancy pay if/when the scheme ends (particularly given reference to the NHS rules on continuous service in NHS rather than just at the employing site) – has this been considered ?</w:t>
      </w:r>
    </w:p>
    <w:p w:rsidR="00DE06B0" w:rsidRPr="00DE06B0" w:rsidRDefault="00DE06B0" w:rsidP="00DE06B0">
      <w:pPr>
        <w:rPr>
          <w:rFonts w:eastAsia="Times New Roman" w:cs="Times New Roman"/>
          <w:color w:val="333333"/>
          <w:sz w:val="22"/>
          <w:szCs w:val="22"/>
          <w:lang w:val="en-GB" w:eastAsia="en-GB"/>
        </w:rPr>
      </w:pPr>
      <w:r w:rsidRPr="00DE06B0">
        <w:rPr>
          <w:rFonts w:eastAsia="Times New Roman" w:cs="Times New Roman"/>
          <w:color w:val="333333"/>
          <w:sz w:val="22"/>
          <w:szCs w:val="22"/>
          <w:lang w:val="en-GB" w:eastAsia="en-GB"/>
        </w:rPr>
        <w:t>  </w:t>
      </w:r>
    </w:p>
    <w:p w:rsidR="00E45265" w:rsidRPr="009613B0" w:rsidRDefault="00E45265" w:rsidP="00DE06B0">
      <w:pPr>
        <w:rPr>
          <w:rFonts w:cs="Arial"/>
          <w:b/>
          <w:sz w:val="22"/>
          <w:szCs w:val="22"/>
          <w:u w:val="single"/>
        </w:rPr>
      </w:pPr>
    </w:p>
    <w:sectPr w:rsidR="00E45265" w:rsidRPr="009613B0" w:rsidSect="00625590">
      <w:footerReference w:type="default" r:id="rId17"/>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65" w:rsidRDefault="00E45265">
      <w:r>
        <w:separator/>
      </w:r>
    </w:p>
  </w:endnote>
  <w:endnote w:type="continuationSeparator" w:id="0">
    <w:p w:rsidR="00E45265" w:rsidRDefault="00E4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65" w:rsidRDefault="00E45265" w:rsidP="002E0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265" w:rsidRDefault="00E45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65" w:rsidRPr="005A75C0" w:rsidRDefault="00E45265" w:rsidP="002E0E2B">
    <w:pPr>
      <w:pStyle w:val="Footer"/>
      <w:framePr w:wrap="around" w:vAnchor="text" w:hAnchor="margin" w:xAlign="center" w:y="1"/>
      <w:rPr>
        <w:rStyle w:val="PageNumber"/>
        <w:sz w:val="20"/>
        <w:szCs w:val="20"/>
      </w:rPr>
    </w:pPr>
    <w:r w:rsidRPr="005A75C0">
      <w:rPr>
        <w:rStyle w:val="PageNumber"/>
        <w:sz w:val="20"/>
        <w:szCs w:val="20"/>
      </w:rPr>
      <w:fldChar w:fldCharType="begin"/>
    </w:r>
    <w:r w:rsidRPr="005A75C0">
      <w:rPr>
        <w:rStyle w:val="PageNumber"/>
        <w:sz w:val="20"/>
        <w:szCs w:val="20"/>
      </w:rPr>
      <w:instrText xml:space="preserve">PAGE  </w:instrText>
    </w:r>
    <w:r w:rsidRPr="005A75C0">
      <w:rPr>
        <w:rStyle w:val="PageNumber"/>
        <w:sz w:val="20"/>
        <w:szCs w:val="20"/>
      </w:rPr>
      <w:fldChar w:fldCharType="separate"/>
    </w:r>
    <w:r w:rsidR="006D29B7">
      <w:rPr>
        <w:rStyle w:val="PageNumber"/>
        <w:noProof/>
        <w:sz w:val="20"/>
        <w:szCs w:val="20"/>
      </w:rPr>
      <w:t>1</w:t>
    </w:r>
    <w:r w:rsidRPr="005A75C0">
      <w:rPr>
        <w:rStyle w:val="PageNumber"/>
        <w:sz w:val="20"/>
        <w:szCs w:val="20"/>
      </w:rPr>
      <w:fldChar w:fldCharType="end"/>
    </w:r>
  </w:p>
  <w:p w:rsidR="00E45265" w:rsidRDefault="00E45265">
    <w:pPr>
      <w:pStyle w:val="Footer"/>
    </w:pPr>
  </w:p>
  <w:p w:rsidR="00E45265" w:rsidRPr="000D5646" w:rsidRDefault="00CE03FC" w:rsidP="002E0E2B">
    <w:pPr>
      <w:pStyle w:val="Footer"/>
      <w:jc w:val="right"/>
      <w:rPr>
        <w:sz w:val="18"/>
        <w:szCs w:val="18"/>
      </w:rPr>
    </w:pPr>
    <w:r>
      <w:rPr>
        <w:sz w:val="18"/>
        <w:szCs w:val="18"/>
      </w:rPr>
      <w:t>JW, July</w:t>
    </w:r>
    <w:r w:rsidR="00E45265">
      <w:rPr>
        <w:sz w:val="18"/>
        <w:szCs w:val="18"/>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11089"/>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EndPr/>
        <w:sdtContent>
          <w:p w:rsidR="000C7010" w:rsidRPr="000C7010" w:rsidRDefault="006D29B7">
            <w:pPr>
              <w:pStyle w:val="Footer"/>
              <w:jc w:val="center"/>
              <w:rPr>
                <w:sz w:val="20"/>
                <w:szCs w:val="20"/>
              </w:rPr>
            </w:pPr>
            <w:r w:rsidRPr="000C7010">
              <w:rPr>
                <w:sz w:val="20"/>
                <w:szCs w:val="20"/>
              </w:rPr>
              <w:t xml:space="preserve">Page </w:t>
            </w:r>
            <w:r w:rsidRPr="000C7010">
              <w:rPr>
                <w:b/>
                <w:bCs/>
                <w:sz w:val="20"/>
                <w:szCs w:val="20"/>
              </w:rPr>
              <w:fldChar w:fldCharType="begin"/>
            </w:r>
            <w:r w:rsidRPr="000C7010">
              <w:rPr>
                <w:b/>
                <w:bCs/>
                <w:sz w:val="20"/>
                <w:szCs w:val="20"/>
              </w:rPr>
              <w:instrText xml:space="preserve"> PAGE </w:instrText>
            </w:r>
            <w:r w:rsidRPr="000C7010">
              <w:rPr>
                <w:b/>
                <w:bCs/>
                <w:sz w:val="20"/>
                <w:szCs w:val="20"/>
              </w:rPr>
              <w:fldChar w:fldCharType="separate"/>
            </w:r>
            <w:r>
              <w:rPr>
                <w:b/>
                <w:bCs/>
                <w:noProof/>
                <w:sz w:val="20"/>
                <w:szCs w:val="20"/>
              </w:rPr>
              <w:t>8</w:t>
            </w:r>
            <w:r w:rsidRPr="000C7010">
              <w:rPr>
                <w:b/>
                <w:bCs/>
                <w:sz w:val="20"/>
                <w:szCs w:val="20"/>
              </w:rPr>
              <w:fldChar w:fldCharType="end"/>
            </w:r>
            <w:r w:rsidRPr="000C7010">
              <w:rPr>
                <w:sz w:val="20"/>
                <w:szCs w:val="20"/>
              </w:rPr>
              <w:t xml:space="preserve"> of </w:t>
            </w:r>
            <w:r w:rsidRPr="000C7010">
              <w:rPr>
                <w:b/>
                <w:bCs/>
                <w:sz w:val="20"/>
                <w:szCs w:val="20"/>
              </w:rPr>
              <w:fldChar w:fldCharType="begin"/>
            </w:r>
            <w:r w:rsidRPr="000C7010">
              <w:rPr>
                <w:b/>
                <w:bCs/>
                <w:sz w:val="20"/>
                <w:szCs w:val="20"/>
              </w:rPr>
              <w:instrText xml:space="preserve"> NUMPAGES  </w:instrText>
            </w:r>
            <w:r w:rsidRPr="000C7010">
              <w:rPr>
                <w:b/>
                <w:bCs/>
                <w:sz w:val="20"/>
                <w:szCs w:val="20"/>
              </w:rPr>
              <w:fldChar w:fldCharType="separate"/>
            </w:r>
            <w:r>
              <w:rPr>
                <w:b/>
                <w:bCs/>
                <w:noProof/>
                <w:sz w:val="20"/>
                <w:szCs w:val="20"/>
              </w:rPr>
              <w:t>10</w:t>
            </w:r>
            <w:r w:rsidRPr="000C7010">
              <w:rPr>
                <w:b/>
                <w:bCs/>
                <w:sz w:val="20"/>
                <w:szCs w:val="20"/>
              </w:rPr>
              <w:fldChar w:fldCharType="end"/>
            </w:r>
          </w:p>
        </w:sdtContent>
      </w:sdt>
    </w:sdtContent>
  </w:sdt>
  <w:p w:rsidR="000C7010" w:rsidRDefault="006D2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65" w:rsidRDefault="00E45265">
      <w:r>
        <w:separator/>
      </w:r>
    </w:p>
  </w:footnote>
  <w:footnote w:type="continuationSeparator" w:id="0">
    <w:p w:rsidR="00E45265" w:rsidRDefault="00E4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65" w:rsidRPr="00885FE7" w:rsidRDefault="00E45265">
    <w:pPr>
      <w:pStyle w:val="Header"/>
      <w:rPr>
        <w:b/>
      </w:rPr>
    </w:pPr>
    <w:r>
      <w:rPr>
        <w:b/>
      </w:rPr>
      <w:t>Paper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E8D"/>
    <w:multiLevelType w:val="hybridMultilevel"/>
    <w:tmpl w:val="5D90D386"/>
    <w:lvl w:ilvl="0" w:tplc="9B28E6E2">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765D6"/>
    <w:multiLevelType w:val="hybridMultilevel"/>
    <w:tmpl w:val="CFDA6A24"/>
    <w:lvl w:ilvl="0" w:tplc="5C5A53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65E4"/>
    <w:multiLevelType w:val="hybridMultilevel"/>
    <w:tmpl w:val="60EC9B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B1C28"/>
    <w:multiLevelType w:val="hybridMultilevel"/>
    <w:tmpl w:val="DD6AE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B6659"/>
    <w:multiLevelType w:val="multilevel"/>
    <w:tmpl w:val="821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A7F33"/>
    <w:multiLevelType w:val="hybridMultilevel"/>
    <w:tmpl w:val="504CD9F2"/>
    <w:lvl w:ilvl="0" w:tplc="3412E43A">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05CEB"/>
    <w:multiLevelType w:val="hybridMultilevel"/>
    <w:tmpl w:val="F068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1064D"/>
    <w:multiLevelType w:val="hybridMultilevel"/>
    <w:tmpl w:val="B3DA25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29C36808"/>
    <w:multiLevelType w:val="hybridMultilevel"/>
    <w:tmpl w:val="F490ED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62DB8"/>
    <w:multiLevelType w:val="hybridMultilevel"/>
    <w:tmpl w:val="5868F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0A2B27"/>
    <w:multiLevelType w:val="multilevel"/>
    <w:tmpl w:val="D3BC5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68180C"/>
    <w:multiLevelType w:val="multilevel"/>
    <w:tmpl w:val="4D8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6472D"/>
    <w:multiLevelType w:val="hybridMultilevel"/>
    <w:tmpl w:val="9FBECC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55F89"/>
    <w:multiLevelType w:val="hybridMultilevel"/>
    <w:tmpl w:val="CCBA7EA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6">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FA7CAA"/>
    <w:multiLevelType w:val="hybridMultilevel"/>
    <w:tmpl w:val="A99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05456"/>
    <w:multiLevelType w:val="multilevel"/>
    <w:tmpl w:val="530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B0F2B"/>
    <w:multiLevelType w:val="hybridMultilevel"/>
    <w:tmpl w:val="1F788E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933E72"/>
    <w:multiLevelType w:val="hybridMultilevel"/>
    <w:tmpl w:val="C4AC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454062B"/>
    <w:multiLevelType w:val="hybridMultilevel"/>
    <w:tmpl w:val="8510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CD3686"/>
    <w:multiLevelType w:val="hybridMultilevel"/>
    <w:tmpl w:val="DB444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CD3D76"/>
    <w:multiLevelType w:val="hybridMultilevel"/>
    <w:tmpl w:val="1EF6284C"/>
    <w:lvl w:ilvl="0" w:tplc="0809001B">
      <w:start w:val="1"/>
      <w:numFmt w:val="lowerRoman"/>
      <w:lvlText w:val="%1."/>
      <w:lvlJc w:val="right"/>
      <w:pPr>
        <w:ind w:left="720" w:hanging="360"/>
      </w:pPr>
      <w:rPr>
        <w:rFonts w:hint="default"/>
        <w:b/>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271E77"/>
    <w:multiLevelType w:val="hybridMultilevel"/>
    <w:tmpl w:val="F0EAF4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96369"/>
    <w:multiLevelType w:val="hybridMultilevel"/>
    <w:tmpl w:val="FCBE9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F477AE"/>
    <w:multiLevelType w:val="hybridMultilevel"/>
    <w:tmpl w:val="3B42B3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DF605E"/>
    <w:multiLevelType w:val="hybridMultilevel"/>
    <w:tmpl w:val="A16424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BD3291"/>
    <w:multiLevelType w:val="hybridMultilevel"/>
    <w:tmpl w:val="570CC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DF3B54"/>
    <w:multiLevelType w:val="hybridMultilevel"/>
    <w:tmpl w:val="9322E8B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E30EF8"/>
    <w:multiLevelType w:val="hybridMultilevel"/>
    <w:tmpl w:val="10B66B72"/>
    <w:lvl w:ilvl="0" w:tplc="76F2AE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4167268"/>
    <w:multiLevelType w:val="multilevel"/>
    <w:tmpl w:val="94C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D51345"/>
    <w:multiLevelType w:val="hybridMultilevel"/>
    <w:tmpl w:val="E81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07043"/>
    <w:multiLevelType w:val="hybridMultilevel"/>
    <w:tmpl w:val="9018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BA7488"/>
    <w:multiLevelType w:val="hybridMultilevel"/>
    <w:tmpl w:val="1DBE75EA"/>
    <w:lvl w:ilvl="0" w:tplc="645466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7919C9"/>
    <w:multiLevelType w:val="hybridMultilevel"/>
    <w:tmpl w:val="C46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A63CC7"/>
    <w:multiLevelType w:val="hybridMultilevel"/>
    <w:tmpl w:val="280254CE"/>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3E0325E"/>
    <w:multiLevelType w:val="hybridMultilevel"/>
    <w:tmpl w:val="E66EA5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F9794E"/>
    <w:multiLevelType w:val="hybridMultilevel"/>
    <w:tmpl w:val="E2A46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59621B"/>
    <w:multiLevelType w:val="hybridMultilevel"/>
    <w:tmpl w:val="16DA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D832C0"/>
    <w:multiLevelType w:val="hybridMultilevel"/>
    <w:tmpl w:val="75A6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3A60F4"/>
    <w:multiLevelType w:val="hybridMultilevel"/>
    <w:tmpl w:val="FA0E7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5"/>
  </w:num>
  <w:num w:numId="3">
    <w:abstractNumId w:val="7"/>
  </w:num>
  <w:num w:numId="4">
    <w:abstractNumId w:val="16"/>
  </w:num>
  <w:num w:numId="5">
    <w:abstractNumId w:val="40"/>
  </w:num>
  <w:num w:numId="6">
    <w:abstractNumId w:val="35"/>
  </w:num>
  <w:num w:numId="7">
    <w:abstractNumId w:val="39"/>
  </w:num>
  <w:num w:numId="8">
    <w:abstractNumId w:val="26"/>
  </w:num>
  <w:num w:numId="9">
    <w:abstractNumId w:val="20"/>
  </w:num>
  <w:num w:numId="10">
    <w:abstractNumId w:val="25"/>
  </w:num>
  <w:num w:numId="11">
    <w:abstractNumId w:val="5"/>
  </w:num>
  <w:num w:numId="12">
    <w:abstractNumId w:val="41"/>
  </w:num>
  <w:num w:numId="13">
    <w:abstractNumId w:val="30"/>
  </w:num>
  <w:num w:numId="14">
    <w:abstractNumId w:val="32"/>
  </w:num>
  <w:num w:numId="15">
    <w:abstractNumId w:val="28"/>
  </w:num>
  <w:num w:numId="16">
    <w:abstractNumId w:val="38"/>
  </w:num>
  <w:num w:numId="17">
    <w:abstractNumId w:val="33"/>
  </w:num>
  <w:num w:numId="18">
    <w:abstractNumId w:val="42"/>
  </w:num>
  <w:num w:numId="19">
    <w:abstractNumId w:val="22"/>
  </w:num>
  <w:num w:numId="20">
    <w:abstractNumId w:val="14"/>
  </w:num>
  <w:num w:numId="21">
    <w:abstractNumId w:val="29"/>
  </w:num>
  <w:num w:numId="22">
    <w:abstractNumId w:val="27"/>
  </w:num>
  <w:num w:numId="23">
    <w:abstractNumId w:val="2"/>
  </w:num>
  <w:num w:numId="24">
    <w:abstractNumId w:val="10"/>
  </w:num>
  <w:num w:numId="25">
    <w:abstractNumId w:val="37"/>
  </w:num>
  <w:num w:numId="26">
    <w:abstractNumId w:val="1"/>
  </w:num>
  <w:num w:numId="27">
    <w:abstractNumId w:val="34"/>
  </w:num>
  <w:num w:numId="28">
    <w:abstractNumId w:val="11"/>
  </w:num>
  <w:num w:numId="29">
    <w:abstractNumId w:val="13"/>
  </w:num>
  <w:num w:numId="30">
    <w:abstractNumId w:val="18"/>
  </w:num>
  <w:num w:numId="31">
    <w:abstractNumId w:val="31"/>
  </w:num>
  <w:num w:numId="32">
    <w:abstractNumId w:val="23"/>
  </w:num>
  <w:num w:numId="33">
    <w:abstractNumId w:val="24"/>
  </w:num>
  <w:num w:numId="34">
    <w:abstractNumId w:val="12"/>
  </w:num>
  <w:num w:numId="35">
    <w:abstractNumId w:val="0"/>
  </w:num>
  <w:num w:numId="36">
    <w:abstractNumId w:val="4"/>
  </w:num>
  <w:num w:numId="37">
    <w:abstractNumId w:val="17"/>
  </w:num>
  <w:num w:numId="38">
    <w:abstractNumId w:val="8"/>
  </w:num>
  <w:num w:numId="39">
    <w:abstractNumId w:val="3"/>
  </w:num>
  <w:num w:numId="40">
    <w:abstractNumId w:val="6"/>
  </w:num>
  <w:num w:numId="41">
    <w:abstractNumId w:val="21"/>
  </w:num>
  <w:num w:numId="42">
    <w:abstractNumId w:val="9"/>
  </w:num>
  <w:num w:numId="43">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4B2A"/>
    <w:rsid w:val="00015B91"/>
    <w:rsid w:val="00017923"/>
    <w:rsid w:val="00026C3C"/>
    <w:rsid w:val="00032EB3"/>
    <w:rsid w:val="000418F8"/>
    <w:rsid w:val="00044C26"/>
    <w:rsid w:val="00052EF6"/>
    <w:rsid w:val="0008317A"/>
    <w:rsid w:val="0008448F"/>
    <w:rsid w:val="000A1F4A"/>
    <w:rsid w:val="000A314A"/>
    <w:rsid w:val="000A427F"/>
    <w:rsid w:val="000A4EDE"/>
    <w:rsid w:val="000B1430"/>
    <w:rsid w:val="000C5503"/>
    <w:rsid w:val="000D00DD"/>
    <w:rsid w:val="000D19A6"/>
    <w:rsid w:val="000D2C95"/>
    <w:rsid w:val="000D5646"/>
    <w:rsid w:val="000E1B38"/>
    <w:rsid w:val="000E2435"/>
    <w:rsid w:val="000E456D"/>
    <w:rsid w:val="000E5455"/>
    <w:rsid w:val="000F264C"/>
    <w:rsid w:val="0011130F"/>
    <w:rsid w:val="00113529"/>
    <w:rsid w:val="00124CA4"/>
    <w:rsid w:val="001252BF"/>
    <w:rsid w:val="00127960"/>
    <w:rsid w:val="001337F9"/>
    <w:rsid w:val="00133FC8"/>
    <w:rsid w:val="0013495C"/>
    <w:rsid w:val="00147709"/>
    <w:rsid w:val="001526A9"/>
    <w:rsid w:val="00152DA7"/>
    <w:rsid w:val="001560E3"/>
    <w:rsid w:val="00164951"/>
    <w:rsid w:val="00166655"/>
    <w:rsid w:val="00171CD4"/>
    <w:rsid w:val="00180578"/>
    <w:rsid w:val="00191B52"/>
    <w:rsid w:val="00193521"/>
    <w:rsid w:val="001955D7"/>
    <w:rsid w:val="001A27FE"/>
    <w:rsid w:val="001B229E"/>
    <w:rsid w:val="001D2D34"/>
    <w:rsid w:val="001F16C0"/>
    <w:rsid w:val="001F6D53"/>
    <w:rsid w:val="00200320"/>
    <w:rsid w:val="0020138C"/>
    <w:rsid w:val="00202DC4"/>
    <w:rsid w:val="00217A52"/>
    <w:rsid w:val="00225571"/>
    <w:rsid w:val="002337B5"/>
    <w:rsid w:val="0024000A"/>
    <w:rsid w:val="002435D3"/>
    <w:rsid w:val="00251F69"/>
    <w:rsid w:val="00252807"/>
    <w:rsid w:val="00255ED3"/>
    <w:rsid w:val="002614B0"/>
    <w:rsid w:val="0026501F"/>
    <w:rsid w:val="0026603A"/>
    <w:rsid w:val="002661DF"/>
    <w:rsid w:val="00270B24"/>
    <w:rsid w:val="0027284E"/>
    <w:rsid w:val="0028762B"/>
    <w:rsid w:val="00291F8D"/>
    <w:rsid w:val="00292825"/>
    <w:rsid w:val="00294E63"/>
    <w:rsid w:val="00296BE5"/>
    <w:rsid w:val="002A23C0"/>
    <w:rsid w:val="002A33D8"/>
    <w:rsid w:val="002A6A0F"/>
    <w:rsid w:val="002B4D9F"/>
    <w:rsid w:val="002B7262"/>
    <w:rsid w:val="002B7768"/>
    <w:rsid w:val="002D5A68"/>
    <w:rsid w:val="002E0E2B"/>
    <w:rsid w:val="002E35C3"/>
    <w:rsid w:val="002E5E11"/>
    <w:rsid w:val="002F01F4"/>
    <w:rsid w:val="002F0E52"/>
    <w:rsid w:val="003017CD"/>
    <w:rsid w:val="00310FDF"/>
    <w:rsid w:val="003153E7"/>
    <w:rsid w:val="00332961"/>
    <w:rsid w:val="003447A3"/>
    <w:rsid w:val="00347D4A"/>
    <w:rsid w:val="00357EDE"/>
    <w:rsid w:val="00373D14"/>
    <w:rsid w:val="00390651"/>
    <w:rsid w:val="00392A7A"/>
    <w:rsid w:val="003A0EEA"/>
    <w:rsid w:val="003A1272"/>
    <w:rsid w:val="003A6B6A"/>
    <w:rsid w:val="003B556B"/>
    <w:rsid w:val="003C6775"/>
    <w:rsid w:val="003D2C5C"/>
    <w:rsid w:val="003D544C"/>
    <w:rsid w:val="003D7A36"/>
    <w:rsid w:val="003E1AC3"/>
    <w:rsid w:val="003E6A69"/>
    <w:rsid w:val="003F3C66"/>
    <w:rsid w:val="00401D5C"/>
    <w:rsid w:val="00407576"/>
    <w:rsid w:val="004214AD"/>
    <w:rsid w:val="004262DE"/>
    <w:rsid w:val="00427254"/>
    <w:rsid w:val="00431F14"/>
    <w:rsid w:val="00432D6C"/>
    <w:rsid w:val="00446127"/>
    <w:rsid w:val="0045401C"/>
    <w:rsid w:val="00467425"/>
    <w:rsid w:val="00470FF9"/>
    <w:rsid w:val="00485764"/>
    <w:rsid w:val="004872EF"/>
    <w:rsid w:val="004948A0"/>
    <w:rsid w:val="00496B6F"/>
    <w:rsid w:val="004A71E9"/>
    <w:rsid w:val="004B065C"/>
    <w:rsid w:val="004B424C"/>
    <w:rsid w:val="004B547E"/>
    <w:rsid w:val="004B5646"/>
    <w:rsid w:val="004C0A34"/>
    <w:rsid w:val="004C2C6F"/>
    <w:rsid w:val="004C7277"/>
    <w:rsid w:val="004D1EB6"/>
    <w:rsid w:val="004E0317"/>
    <w:rsid w:val="004E6D5D"/>
    <w:rsid w:val="00504776"/>
    <w:rsid w:val="00506061"/>
    <w:rsid w:val="00513F14"/>
    <w:rsid w:val="00523CA6"/>
    <w:rsid w:val="00525329"/>
    <w:rsid w:val="00525FB6"/>
    <w:rsid w:val="0053146A"/>
    <w:rsid w:val="00535EDF"/>
    <w:rsid w:val="0053682A"/>
    <w:rsid w:val="005403DC"/>
    <w:rsid w:val="00543220"/>
    <w:rsid w:val="005440D3"/>
    <w:rsid w:val="00551071"/>
    <w:rsid w:val="00551107"/>
    <w:rsid w:val="00560FAA"/>
    <w:rsid w:val="0056174D"/>
    <w:rsid w:val="00566446"/>
    <w:rsid w:val="0057251E"/>
    <w:rsid w:val="0057649F"/>
    <w:rsid w:val="00591FE5"/>
    <w:rsid w:val="005A5BEF"/>
    <w:rsid w:val="005A60FD"/>
    <w:rsid w:val="005A75C0"/>
    <w:rsid w:val="005B57A6"/>
    <w:rsid w:val="005C313C"/>
    <w:rsid w:val="005E1EE1"/>
    <w:rsid w:val="005E30E0"/>
    <w:rsid w:val="005F1A06"/>
    <w:rsid w:val="00603642"/>
    <w:rsid w:val="006057B3"/>
    <w:rsid w:val="00605943"/>
    <w:rsid w:val="00613413"/>
    <w:rsid w:val="00614C24"/>
    <w:rsid w:val="00614E43"/>
    <w:rsid w:val="00616057"/>
    <w:rsid w:val="00616B6C"/>
    <w:rsid w:val="00634CBD"/>
    <w:rsid w:val="00646D20"/>
    <w:rsid w:val="00653D86"/>
    <w:rsid w:val="00661D13"/>
    <w:rsid w:val="006620D3"/>
    <w:rsid w:val="00692F65"/>
    <w:rsid w:val="006A28AF"/>
    <w:rsid w:val="006A59AF"/>
    <w:rsid w:val="006B7AAF"/>
    <w:rsid w:val="006D29B7"/>
    <w:rsid w:val="006D5FB7"/>
    <w:rsid w:val="006D648B"/>
    <w:rsid w:val="006F56A5"/>
    <w:rsid w:val="006F5C69"/>
    <w:rsid w:val="00700A26"/>
    <w:rsid w:val="00705E35"/>
    <w:rsid w:val="0071568A"/>
    <w:rsid w:val="00725036"/>
    <w:rsid w:val="00733340"/>
    <w:rsid w:val="00737BCA"/>
    <w:rsid w:val="00751EC9"/>
    <w:rsid w:val="0075316F"/>
    <w:rsid w:val="00754E70"/>
    <w:rsid w:val="00760792"/>
    <w:rsid w:val="00765912"/>
    <w:rsid w:val="00765970"/>
    <w:rsid w:val="00775038"/>
    <w:rsid w:val="00792E2C"/>
    <w:rsid w:val="007947F6"/>
    <w:rsid w:val="007A002E"/>
    <w:rsid w:val="007A1593"/>
    <w:rsid w:val="007B0AC4"/>
    <w:rsid w:val="007B552B"/>
    <w:rsid w:val="007B74B6"/>
    <w:rsid w:val="007C1AA6"/>
    <w:rsid w:val="007C2ACC"/>
    <w:rsid w:val="007D0A1E"/>
    <w:rsid w:val="007D4035"/>
    <w:rsid w:val="007E4763"/>
    <w:rsid w:val="007F04B5"/>
    <w:rsid w:val="007F0B03"/>
    <w:rsid w:val="007F6C68"/>
    <w:rsid w:val="00800207"/>
    <w:rsid w:val="00800DEE"/>
    <w:rsid w:val="0081673B"/>
    <w:rsid w:val="00821AEE"/>
    <w:rsid w:val="008241E5"/>
    <w:rsid w:val="008272FB"/>
    <w:rsid w:val="008300F9"/>
    <w:rsid w:val="0084794F"/>
    <w:rsid w:val="00852B45"/>
    <w:rsid w:val="00854D3C"/>
    <w:rsid w:val="008751BC"/>
    <w:rsid w:val="008767FE"/>
    <w:rsid w:val="00883192"/>
    <w:rsid w:val="00883640"/>
    <w:rsid w:val="00885FE7"/>
    <w:rsid w:val="00886AE3"/>
    <w:rsid w:val="00887EB3"/>
    <w:rsid w:val="0089143F"/>
    <w:rsid w:val="008930C5"/>
    <w:rsid w:val="008A5C5D"/>
    <w:rsid w:val="008B45C5"/>
    <w:rsid w:val="008C1D3B"/>
    <w:rsid w:val="008C24B2"/>
    <w:rsid w:val="008C29E4"/>
    <w:rsid w:val="008C5726"/>
    <w:rsid w:val="008D0CF1"/>
    <w:rsid w:val="008D677B"/>
    <w:rsid w:val="008E2F7E"/>
    <w:rsid w:val="008E3C55"/>
    <w:rsid w:val="008E6685"/>
    <w:rsid w:val="008E670A"/>
    <w:rsid w:val="00912F27"/>
    <w:rsid w:val="009251FD"/>
    <w:rsid w:val="0093158B"/>
    <w:rsid w:val="00932325"/>
    <w:rsid w:val="0093255C"/>
    <w:rsid w:val="00933D0E"/>
    <w:rsid w:val="00946044"/>
    <w:rsid w:val="00950600"/>
    <w:rsid w:val="0095352A"/>
    <w:rsid w:val="009613B0"/>
    <w:rsid w:val="009716EB"/>
    <w:rsid w:val="00972ADA"/>
    <w:rsid w:val="00972FEC"/>
    <w:rsid w:val="00983E4C"/>
    <w:rsid w:val="00993498"/>
    <w:rsid w:val="009953A0"/>
    <w:rsid w:val="009A1770"/>
    <w:rsid w:val="009A2733"/>
    <w:rsid w:val="009A4D93"/>
    <w:rsid w:val="009A5767"/>
    <w:rsid w:val="009C149B"/>
    <w:rsid w:val="009E5959"/>
    <w:rsid w:val="00A05071"/>
    <w:rsid w:val="00A05E67"/>
    <w:rsid w:val="00A3484D"/>
    <w:rsid w:val="00A35AC5"/>
    <w:rsid w:val="00A40FF6"/>
    <w:rsid w:val="00A611A3"/>
    <w:rsid w:val="00A935E0"/>
    <w:rsid w:val="00AA3A0C"/>
    <w:rsid w:val="00AB7DAE"/>
    <w:rsid w:val="00AC427F"/>
    <w:rsid w:val="00AC7021"/>
    <w:rsid w:val="00AD4FAB"/>
    <w:rsid w:val="00AE5618"/>
    <w:rsid w:val="00AE5B15"/>
    <w:rsid w:val="00AF4000"/>
    <w:rsid w:val="00B056F1"/>
    <w:rsid w:val="00B101A8"/>
    <w:rsid w:val="00B10238"/>
    <w:rsid w:val="00B10D9E"/>
    <w:rsid w:val="00B330BE"/>
    <w:rsid w:val="00B40653"/>
    <w:rsid w:val="00B538EE"/>
    <w:rsid w:val="00B555D2"/>
    <w:rsid w:val="00B6056C"/>
    <w:rsid w:val="00B61E42"/>
    <w:rsid w:val="00B632DF"/>
    <w:rsid w:val="00B70D65"/>
    <w:rsid w:val="00B71841"/>
    <w:rsid w:val="00B815F6"/>
    <w:rsid w:val="00B824BF"/>
    <w:rsid w:val="00B8672E"/>
    <w:rsid w:val="00B9146E"/>
    <w:rsid w:val="00BB1572"/>
    <w:rsid w:val="00BB263C"/>
    <w:rsid w:val="00BB4809"/>
    <w:rsid w:val="00BC1B31"/>
    <w:rsid w:val="00BC1EDF"/>
    <w:rsid w:val="00BC2F0E"/>
    <w:rsid w:val="00BC2FEA"/>
    <w:rsid w:val="00BC3638"/>
    <w:rsid w:val="00BC4463"/>
    <w:rsid w:val="00BD22A9"/>
    <w:rsid w:val="00BD54C6"/>
    <w:rsid w:val="00BD5C41"/>
    <w:rsid w:val="00BE2D9A"/>
    <w:rsid w:val="00BE2F29"/>
    <w:rsid w:val="00BE4AB7"/>
    <w:rsid w:val="00BF00D2"/>
    <w:rsid w:val="00BF58DD"/>
    <w:rsid w:val="00C074DC"/>
    <w:rsid w:val="00C07DF5"/>
    <w:rsid w:val="00C11AC9"/>
    <w:rsid w:val="00C16E49"/>
    <w:rsid w:val="00C17B86"/>
    <w:rsid w:val="00C252A2"/>
    <w:rsid w:val="00C26B81"/>
    <w:rsid w:val="00C2748B"/>
    <w:rsid w:val="00C32173"/>
    <w:rsid w:val="00C42296"/>
    <w:rsid w:val="00C43CBB"/>
    <w:rsid w:val="00C459A4"/>
    <w:rsid w:val="00C60110"/>
    <w:rsid w:val="00C642ED"/>
    <w:rsid w:val="00C76367"/>
    <w:rsid w:val="00C83DEF"/>
    <w:rsid w:val="00C92325"/>
    <w:rsid w:val="00C93956"/>
    <w:rsid w:val="00CA1A47"/>
    <w:rsid w:val="00CA1C05"/>
    <w:rsid w:val="00CA2DC3"/>
    <w:rsid w:val="00CB3982"/>
    <w:rsid w:val="00CB4E4E"/>
    <w:rsid w:val="00CB7722"/>
    <w:rsid w:val="00CC6D4B"/>
    <w:rsid w:val="00CD10D0"/>
    <w:rsid w:val="00CD26F6"/>
    <w:rsid w:val="00CD47C4"/>
    <w:rsid w:val="00CE03FC"/>
    <w:rsid w:val="00CE48EB"/>
    <w:rsid w:val="00CE5A45"/>
    <w:rsid w:val="00CE70FA"/>
    <w:rsid w:val="00CE74DD"/>
    <w:rsid w:val="00CF1D80"/>
    <w:rsid w:val="00D02564"/>
    <w:rsid w:val="00D043C3"/>
    <w:rsid w:val="00D05FD3"/>
    <w:rsid w:val="00D06F9D"/>
    <w:rsid w:val="00D15467"/>
    <w:rsid w:val="00D160BA"/>
    <w:rsid w:val="00D26078"/>
    <w:rsid w:val="00D26399"/>
    <w:rsid w:val="00D62F1D"/>
    <w:rsid w:val="00D66D6D"/>
    <w:rsid w:val="00D84D67"/>
    <w:rsid w:val="00D91792"/>
    <w:rsid w:val="00DA09E0"/>
    <w:rsid w:val="00DB0698"/>
    <w:rsid w:val="00DB2DBF"/>
    <w:rsid w:val="00DC3AED"/>
    <w:rsid w:val="00DD1D3F"/>
    <w:rsid w:val="00DD40D8"/>
    <w:rsid w:val="00DE06B0"/>
    <w:rsid w:val="00DE4E54"/>
    <w:rsid w:val="00E038A9"/>
    <w:rsid w:val="00E066EF"/>
    <w:rsid w:val="00E07BE8"/>
    <w:rsid w:val="00E143FD"/>
    <w:rsid w:val="00E16297"/>
    <w:rsid w:val="00E20DEB"/>
    <w:rsid w:val="00E27A2C"/>
    <w:rsid w:val="00E32446"/>
    <w:rsid w:val="00E364BE"/>
    <w:rsid w:val="00E45265"/>
    <w:rsid w:val="00E50BE4"/>
    <w:rsid w:val="00E55A35"/>
    <w:rsid w:val="00E61AA1"/>
    <w:rsid w:val="00E63795"/>
    <w:rsid w:val="00E66841"/>
    <w:rsid w:val="00E75F38"/>
    <w:rsid w:val="00E81F4E"/>
    <w:rsid w:val="00E864A6"/>
    <w:rsid w:val="00E918C0"/>
    <w:rsid w:val="00EA0A46"/>
    <w:rsid w:val="00EB1C1D"/>
    <w:rsid w:val="00EB452D"/>
    <w:rsid w:val="00EC0C41"/>
    <w:rsid w:val="00EC70E0"/>
    <w:rsid w:val="00ED0867"/>
    <w:rsid w:val="00ED7CBB"/>
    <w:rsid w:val="00EE3B89"/>
    <w:rsid w:val="00EE7A4B"/>
    <w:rsid w:val="00EF1ABF"/>
    <w:rsid w:val="00EF68E5"/>
    <w:rsid w:val="00F15661"/>
    <w:rsid w:val="00F15ED2"/>
    <w:rsid w:val="00F22563"/>
    <w:rsid w:val="00F74664"/>
    <w:rsid w:val="00F75786"/>
    <w:rsid w:val="00F760AA"/>
    <w:rsid w:val="00FA1A60"/>
    <w:rsid w:val="00FA25D9"/>
    <w:rsid w:val="00FB2C29"/>
    <w:rsid w:val="00FC0911"/>
    <w:rsid w:val="00FC110A"/>
    <w:rsid w:val="00FC57E7"/>
    <w:rsid w:val="00FD22AD"/>
    <w:rsid w:val="00FD602D"/>
    <w:rsid w:val="00FE2799"/>
    <w:rsid w:val="00FE27F6"/>
    <w:rsid w:val="00FE543E"/>
    <w:rsid w:val="00FF0641"/>
    <w:rsid w:val="00FF3986"/>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382481860">
      <w:bodyDiv w:val="1"/>
      <w:marLeft w:val="0"/>
      <w:marRight w:val="0"/>
      <w:marTop w:val="0"/>
      <w:marBottom w:val="0"/>
      <w:divBdr>
        <w:top w:val="none" w:sz="0" w:space="0" w:color="auto"/>
        <w:left w:val="none" w:sz="0" w:space="0" w:color="auto"/>
        <w:bottom w:val="none" w:sz="0" w:space="0" w:color="auto"/>
        <w:right w:val="none" w:sz="0" w:space="0" w:color="auto"/>
      </w:divBdr>
      <w:divsChild>
        <w:div w:id="2067609317">
          <w:marLeft w:val="0"/>
          <w:marRight w:val="0"/>
          <w:marTop w:val="0"/>
          <w:marBottom w:val="0"/>
          <w:divBdr>
            <w:top w:val="none" w:sz="0" w:space="0" w:color="auto"/>
            <w:left w:val="none" w:sz="0" w:space="0" w:color="auto"/>
            <w:bottom w:val="none" w:sz="0" w:space="0" w:color="auto"/>
            <w:right w:val="none" w:sz="0" w:space="0" w:color="auto"/>
          </w:divBdr>
          <w:divsChild>
            <w:div w:id="1663700756">
              <w:marLeft w:val="0"/>
              <w:marRight w:val="0"/>
              <w:marTop w:val="0"/>
              <w:marBottom w:val="0"/>
              <w:divBdr>
                <w:top w:val="none" w:sz="0" w:space="0" w:color="auto"/>
                <w:left w:val="none" w:sz="0" w:space="0" w:color="auto"/>
                <w:bottom w:val="none" w:sz="0" w:space="0" w:color="auto"/>
                <w:right w:val="none" w:sz="0" w:space="0" w:color="auto"/>
              </w:divBdr>
            </w:div>
          </w:divsChild>
        </w:div>
        <w:div w:id="525406159">
          <w:marLeft w:val="0"/>
          <w:marRight w:val="0"/>
          <w:marTop w:val="0"/>
          <w:marBottom w:val="0"/>
          <w:divBdr>
            <w:top w:val="none" w:sz="0" w:space="0" w:color="auto"/>
            <w:left w:val="none" w:sz="0" w:space="0" w:color="auto"/>
            <w:bottom w:val="none" w:sz="0" w:space="0" w:color="auto"/>
            <w:right w:val="none" w:sz="0" w:space="0" w:color="auto"/>
          </w:divBdr>
          <w:divsChild>
            <w:div w:id="10378891">
              <w:marLeft w:val="0"/>
              <w:marRight w:val="0"/>
              <w:marTop w:val="0"/>
              <w:marBottom w:val="0"/>
              <w:divBdr>
                <w:top w:val="none" w:sz="0" w:space="0" w:color="auto"/>
                <w:left w:val="none" w:sz="0" w:space="0" w:color="auto"/>
                <w:bottom w:val="none" w:sz="0" w:space="0" w:color="auto"/>
                <w:right w:val="none" w:sz="0" w:space="0" w:color="auto"/>
              </w:divBdr>
            </w:div>
            <w:div w:id="111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745150574">
      <w:bodyDiv w:val="1"/>
      <w:marLeft w:val="0"/>
      <w:marRight w:val="0"/>
      <w:marTop w:val="0"/>
      <w:marBottom w:val="0"/>
      <w:divBdr>
        <w:top w:val="none" w:sz="0" w:space="0" w:color="auto"/>
        <w:left w:val="none" w:sz="0" w:space="0" w:color="auto"/>
        <w:bottom w:val="none" w:sz="0" w:space="0" w:color="auto"/>
        <w:right w:val="none" w:sz="0" w:space="0" w:color="auto"/>
      </w:divBdr>
      <w:divsChild>
        <w:div w:id="656033744">
          <w:marLeft w:val="0"/>
          <w:marRight w:val="0"/>
          <w:marTop w:val="0"/>
          <w:marBottom w:val="0"/>
          <w:divBdr>
            <w:top w:val="none" w:sz="0" w:space="0" w:color="auto"/>
            <w:left w:val="none" w:sz="0" w:space="0" w:color="auto"/>
            <w:bottom w:val="none" w:sz="0" w:space="0" w:color="auto"/>
            <w:right w:val="none" w:sz="0" w:space="0" w:color="auto"/>
          </w:divBdr>
        </w:div>
        <w:div w:id="29647906">
          <w:marLeft w:val="0"/>
          <w:marRight w:val="0"/>
          <w:marTop w:val="0"/>
          <w:marBottom w:val="0"/>
          <w:divBdr>
            <w:top w:val="none" w:sz="0" w:space="0" w:color="auto"/>
            <w:left w:val="none" w:sz="0" w:space="0" w:color="auto"/>
            <w:bottom w:val="none" w:sz="0" w:space="0" w:color="auto"/>
            <w:right w:val="none" w:sz="0" w:space="0" w:color="auto"/>
          </w:divBdr>
        </w:div>
        <w:div w:id="620578314">
          <w:marLeft w:val="0"/>
          <w:marRight w:val="0"/>
          <w:marTop w:val="0"/>
          <w:marBottom w:val="0"/>
          <w:divBdr>
            <w:top w:val="none" w:sz="0" w:space="0" w:color="auto"/>
            <w:left w:val="none" w:sz="0" w:space="0" w:color="auto"/>
            <w:bottom w:val="none" w:sz="0" w:space="0" w:color="auto"/>
            <w:right w:val="none" w:sz="0" w:space="0" w:color="auto"/>
          </w:divBdr>
        </w:div>
        <w:div w:id="217204445">
          <w:marLeft w:val="0"/>
          <w:marRight w:val="0"/>
          <w:marTop w:val="0"/>
          <w:marBottom w:val="0"/>
          <w:divBdr>
            <w:top w:val="none" w:sz="0" w:space="0" w:color="auto"/>
            <w:left w:val="none" w:sz="0" w:space="0" w:color="auto"/>
            <w:bottom w:val="none" w:sz="0" w:space="0" w:color="auto"/>
            <w:right w:val="none" w:sz="0" w:space="0" w:color="auto"/>
          </w:divBdr>
        </w:div>
        <w:div w:id="670643776">
          <w:marLeft w:val="0"/>
          <w:marRight w:val="0"/>
          <w:marTop w:val="0"/>
          <w:marBottom w:val="0"/>
          <w:divBdr>
            <w:top w:val="none" w:sz="0" w:space="0" w:color="auto"/>
            <w:left w:val="none" w:sz="0" w:space="0" w:color="auto"/>
            <w:bottom w:val="none" w:sz="0" w:space="0" w:color="auto"/>
            <w:right w:val="none" w:sz="0" w:space="0" w:color="auto"/>
          </w:divBdr>
        </w:div>
        <w:div w:id="1088160439">
          <w:marLeft w:val="0"/>
          <w:marRight w:val="0"/>
          <w:marTop w:val="0"/>
          <w:marBottom w:val="0"/>
          <w:divBdr>
            <w:top w:val="none" w:sz="0" w:space="0" w:color="auto"/>
            <w:left w:val="none" w:sz="0" w:space="0" w:color="auto"/>
            <w:bottom w:val="none" w:sz="0" w:space="0" w:color="auto"/>
            <w:right w:val="none" w:sz="0" w:space="0" w:color="auto"/>
          </w:divBdr>
        </w:div>
        <w:div w:id="986397780">
          <w:marLeft w:val="0"/>
          <w:marRight w:val="0"/>
          <w:marTop w:val="0"/>
          <w:marBottom w:val="0"/>
          <w:divBdr>
            <w:top w:val="none" w:sz="0" w:space="0" w:color="auto"/>
            <w:left w:val="none" w:sz="0" w:space="0" w:color="auto"/>
            <w:bottom w:val="none" w:sz="0" w:space="0" w:color="auto"/>
            <w:right w:val="none" w:sz="0" w:space="0" w:color="auto"/>
          </w:divBdr>
        </w:div>
        <w:div w:id="1853183765">
          <w:marLeft w:val="0"/>
          <w:marRight w:val="0"/>
          <w:marTop w:val="0"/>
          <w:marBottom w:val="0"/>
          <w:divBdr>
            <w:top w:val="none" w:sz="0" w:space="0" w:color="auto"/>
            <w:left w:val="none" w:sz="0" w:space="0" w:color="auto"/>
            <w:bottom w:val="none" w:sz="0" w:space="0" w:color="auto"/>
            <w:right w:val="none" w:sz="0" w:space="0" w:color="auto"/>
          </w:divBdr>
        </w:div>
        <w:div w:id="1936817382">
          <w:marLeft w:val="0"/>
          <w:marRight w:val="0"/>
          <w:marTop w:val="0"/>
          <w:marBottom w:val="0"/>
          <w:divBdr>
            <w:top w:val="none" w:sz="0" w:space="0" w:color="auto"/>
            <w:left w:val="none" w:sz="0" w:space="0" w:color="auto"/>
            <w:bottom w:val="none" w:sz="0" w:space="0" w:color="auto"/>
            <w:right w:val="none" w:sz="0" w:space="0" w:color="auto"/>
          </w:divBdr>
        </w:div>
        <w:div w:id="940062858">
          <w:marLeft w:val="0"/>
          <w:marRight w:val="0"/>
          <w:marTop w:val="0"/>
          <w:marBottom w:val="0"/>
          <w:divBdr>
            <w:top w:val="none" w:sz="0" w:space="0" w:color="auto"/>
            <w:left w:val="none" w:sz="0" w:space="0" w:color="auto"/>
            <w:bottom w:val="none" w:sz="0" w:space="0" w:color="auto"/>
            <w:right w:val="none" w:sz="0" w:space="0" w:color="auto"/>
          </w:divBdr>
        </w:div>
        <w:div w:id="732778590">
          <w:marLeft w:val="0"/>
          <w:marRight w:val="0"/>
          <w:marTop w:val="0"/>
          <w:marBottom w:val="0"/>
          <w:divBdr>
            <w:top w:val="none" w:sz="0" w:space="0" w:color="auto"/>
            <w:left w:val="none" w:sz="0" w:space="0" w:color="auto"/>
            <w:bottom w:val="none" w:sz="0" w:space="0" w:color="auto"/>
            <w:right w:val="none" w:sz="0" w:space="0" w:color="auto"/>
          </w:divBdr>
        </w:div>
        <w:div w:id="996495739">
          <w:marLeft w:val="0"/>
          <w:marRight w:val="0"/>
          <w:marTop w:val="0"/>
          <w:marBottom w:val="0"/>
          <w:divBdr>
            <w:top w:val="none" w:sz="0" w:space="0" w:color="auto"/>
            <w:left w:val="none" w:sz="0" w:space="0" w:color="auto"/>
            <w:bottom w:val="none" w:sz="0" w:space="0" w:color="auto"/>
            <w:right w:val="none" w:sz="0" w:space="0" w:color="auto"/>
          </w:divBdr>
        </w:div>
        <w:div w:id="1775783120">
          <w:marLeft w:val="0"/>
          <w:marRight w:val="0"/>
          <w:marTop w:val="0"/>
          <w:marBottom w:val="0"/>
          <w:divBdr>
            <w:top w:val="none" w:sz="0" w:space="0" w:color="auto"/>
            <w:left w:val="none" w:sz="0" w:space="0" w:color="auto"/>
            <w:bottom w:val="none" w:sz="0" w:space="0" w:color="auto"/>
            <w:right w:val="none" w:sz="0" w:space="0" w:color="auto"/>
          </w:divBdr>
        </w:div>
        <w:div w:id="1615559009">
          <w:marLeft w:val="0"/>
          <w:marRight w:val="0"/>
          <w:marTop w:val="0"/>
          <w:marBottom w:val="0"/>
          <w:divBdr>
            <w:top w:val="none" w:sz="0" w:space="0" w:color="auto"/>
            <w:left w:val="none" w:sz="0" w:space="0" w:color="auto"/>
            <w:bottom w:val="none" w:sz="0" w:space="0" w:color="auto"/>
            <w:right w:val="none" w:sz="0" w:space="0" w:color="auto"/>
          </w:divBdr>
        </w:div>
        <w:div w:id="617953424">
          <w:marLeft w:val="0"/>
          <w:marRight w:val="0"/>
          <w:marTop w:val="0"/>
          <w:marBottom w:val="0"/>
          <w:divBdr>
            <w:top w:val="none" w:sz="0" w:space="0" w:color="auto"/>
            <w:left w:val="none" w:sz="0" w:space="0" w:color="auto"/>
            <w:bottom w:val="none" w:sz="0" w:space="0" w:color="auto"/>
            <w:right w:val="none" w:sz="0" w:space="0" w:color="auto"/>
          </w:divBdr>
        </w:div>
        <w:div w:id="166019429">
          <w:marLeft w:val="0"/>
          <w:marRight w:val="0"/>
          <w:marTop w:val="0"/>
          <w:marBottom w:val="0"/>
          <w:divBdr>
            <w:top w:val="none" w:sz="0" w:space="0" w:color="auto"/>
            <w:left w:val="none" w:sz="0" w:space="0" w:color="auto"/>
            <w:bottom w:val="none" w:sz="0" w:space="0" w:color="auto"/>
            <w:right w:val="none" w:sz="0" w:space="0" w:color="auto"/>
          </w:divBdr>
        </w:div>
        <w:div w:id="1725830912">
          <w:marLeft w:val="0"/>
          <w:marRight w:val="0"/>
          <w:marTop w:val="0"/>
          <w:marBottom w:val="0"/>
          <w:divBdr>
            <w:top w:val="none" w:sz="0" w:space="0" w:color="auto"/>
            <w:left w:val="none" w:sz="0" w:space="0" w:color="auto"/>
            <w:bottom w:val="none" w:sz="0" w:space="0" w:color="auto"/>
            <w:right w:val="none" w:sz="0" w:space="0" w:color="auto"/>
          </w:divBdr>
        </w:div>
        <w:div w:id="1521311117">
          <w:marLeft w:val="0"/>
          <w:marRight w:val="0"/>
          <w:marTop w:val="0"/>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
            <w:div w:id="157424047">
              <w:marLeft w:val="0"/>
              <w:marRight w:val="0"/>
              <w:marTop w:val="0"/>
              <w:marBottom w:val="0"/>
              <w:divBdr>
                <w:top w:val="none" w:sz="0" w:space="0" w:color="auto"/>
                <w:left w:val="none" w:sz="0" w:space="0" w:color="auto"/>
                <w:bottom w:val="none" w:sz="0" w:space="0" w:color="auto"/>
                <w:right w:val="none" w:sz="0" w:space="0" w:color="auto"/>
              </w:divBdr>
            </w:div>
          </w:divsChild>
        </w:div>
        <w:div w:id="698434713">
          <w:marLeft w:val="0"/>
          <w:marRight w:val="0"/>
          <w:marTop w:val="0"/>
          <w:marBottom w:val="0"/>
          <w:divBdr>
            <w:top w:val="none" w:sz="0" w:space="0" w:color="auto"/>
            <w:left w:val="none" w:sz="0" w:space="0" w:color="auto"/>
            <w:bottom w:val="none" w:sz="0" w:space="0" w:color="auto"/>
            <w:right w:val="none" w:sz="0" w:space="0" w:color="auto"/>
          </w:divBdr>
          <w:divsChild>
            <w:div w:id="2074620829">
              <w:marLeft w:val="0"/>
              <w:marRight w:val="0"/>
              <w:marTop w:val="0"/>
              <w:marBottom w:val="0"/>
              <w:divBdr>
                <w:top w:val="none" w:sz="0" w:space="0" w:color="auto"/>
                <w:left w:val="none" w:sz="0" w:space="0" w:color="auto"/>
                <w:bottom w:val="none" w:sz="0" w:space="0" w:color="auto"/>
                <w:right w:val="none" w:sz="0" w:space="0" w:color="auto"/>
              </w:divBdr>
              <w:divsChild>
                <w:div w:id="1964729077">
                  <w:marLeft w:val="0"/>
                  <w:marRight w:val="0"/>
                  <w:marTop w:val="0"/>
                  <w:marBottom w:val="0"/>
                  <w:divBdr>
                    <w:top w:val="none" w:sz="0" w:space="0" w:color="auto"/>
                    <w:left w:val="none" w:sz="0" w:space="0" w:color="auto"/>
                    <w:bottom w:val="none" w:sz="0" w:space="0" w:color="auto"/>
                    <w:right w:val="none" w:sz="0" w:space="0" w:color="auto"/>
                  </w:divBdr>
                  <w:divsChild>
                    <w:div w:id="1869640745">
                      <w:marLeft w:val="0"/>
                      <w:marRight w:val="0"/>
                      <w:marTop w:val="0"/>
                      <w:marBottom w:val="0"/>
                      <w:divBdr>
                        <w:top w:val="none" w:sz="0" w:space="0" w:color="auto"/>
                        <w:left w:val="none" w:sz="0" w:space="0" w:color="auto"/>
                        <w:bottom w:val="none" w:sz="0" w:space="0" w:color="auto"/>
                        <w:right w:val="none" w:sz="0" w:space="0" w:color="auto"/>
                      </w:divBdr>
                      <w:divsChild>
                        <w:div w:id="1525286395">
                          <w:marLeft w:val="0"/>
                          <w:marRight w:val="0"/>
                          <w:marTop w:val="0"/>
                          <w:marBottom w:val="0"/>
                          <w:divBdr>
                            <w:top w:val="none" w:sz="0" w:space="0" w:color="auto"/>
                            <w:left w:val="none" w:sz="0" w:space="0" w:color="auto"/>
                            <w:bottom w:val="none" w:sz="0" w:space="0" w:color="auto"/>
                            <w:right w:val="none" w:sz="0" w:space="0" w:color="auto"/>
                          </w:divBdr>
                          <w:divsChild>
                            <w:div w:id="650989579">
                              <w:marLeft w:val="0"/>
                              <w:marRight w:val="0"/>
                              <w:marTop w:val="0"/>
                              <w:marBottom w:val="0"/>
                              <w:divBdr>
                                <w:top w:val="none" w:sz="0" w:space="0" w:color="auto"/>
                                <w:left w:val="none" w:sz="0" w:space="0" w:color="auto"/>
                                <w:bottom w:val="none" w:sz="0" w:space="0" w:color="auto"/>
                                <w:right w:val="none" w:sz="0" w:space="0" w:color="auto"/>
                              </w:divBdr>
                              <w:divsChild>
                                <w:div w:id="305667142">
                                  <w:marLeft w:val="0"/>
                                  <w:marRight w:val="0"/>
                                  <w:marTop w:val="0"/>
                                  <w:marBottom w:val="0"/>
                                  <w:divBdr>
                                    <w:top w:val="none" w:sz="0" w:space="0" w:color="auto"/>
                                    <w:left w:val="none" w:sz="0" w:space="0" w:color="auto"/>
                                    <w:bottom w:val="none" w:sz="0" w:space="0" w:color="auto"/>
                                    <w:right w:val="none" w:sz="0" w:space="0" w:color="auto"/>
                                  </w:divBdr>
                                  <w:divsChild>
                                    <w:div w:id="1304772329">
                                      <w:marLeft w:val="0"/>
                                      <w:marRight w:val="0"/>
                                      <w:marTop w:val="0"/>
                                      <w:marBottom w:val="0"/>
                                      <w:divBdr>
                                        <w:top w:val="none" w:sz="0" w:space="0" w:color="auto"/>
                                        <w:left w:val="none" w:sz="0" w:space="0" w:color="auto"/>
                                        <w:bottom w:val="none" w:sz="0" w:space="0" w:color="auto"/>
                                        <w:right w:val="none" w:sz="0" w:space="0" w:color="auto"/>
                                      </w:divBdr>
                                      <w:divsChild>
                                        <w:div w:id="100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573169">
      <w:bodyDiv w:val="1"/>
      <w:marLeft w:val="0"/>
      <w:marRight w:val="0"/>
      <w:marTop w:val="0"/>
      <w:marBottom w:val="0"/>
      <w:divBdr>
        <w:top w:val="none" w:sz="0" w:space="0" w:color="auto"/>
        <w:left w:val="none" w:sz="0" w:space="0" w:color="auto"/>
        <w:bottom w:val="none" w:sz="0" w:space="0" w:color="auto"/>
        <w:right w:val="none" w:sz="0" w:space="0" w:color="auto"/>
      </w:divBdr>
      <w:divsChild>
        <w:div w:id="609553511">
          <w:marLeft w:val="0"/>
          <w:marRight w:val="0"/>
          <w:marTop w:val="0"/>
          <w:marBottom w:val="0"/>
          <w:divBdr>
            <w:top w:val="none" w:sz="0" w:space="0" w:color="auto"/>
            <w:left w:val="none" w:sz="0" w:space="0" w:color="auto"/>
            <w:bottom w:val="none" w:sz="0" w:space="0" w:color="auto"/>
            <w:right w:val="none" w:sz="0" w:space="0" w:color="auto"/>
          </w:divBdr>
        </w:div>
        <w:div w:id="1597716533">
          <w:marLeft w:val="0"/>
          <w:marRight w:val="0"/>
          <w:marTop w:val="0"/>
          <w:marBottom w:val="0"/>
          <w:divBdr>
            <w:top w:val="none" w:sz="0" w:space="0" w:color="auto"/>
            <w:left w:val="none" w:sz="0" w:space="0" w:color="auto"/>
            <w:bottom w:val="none" w:sz="0" w:space="0" w:color="auto"/>
            <w:right w:val="none" w:sz="0" w:space="0" w:color="auto"/>
          </w:divBdr>
        </w:div>
        <w:div w:id="1364406627">
          <w:marLeft w:val="0"/>
          <w:marRight w:val="0"/>
          <w:marTop w:val="0"/>
          <w:marBottom w:val="0"/>
          <w:divBdr>
            <w:top w:val="none" w:sz="0" w:space="0" w:color="auto"/>
            <w:left w:val="none" w:sz="0" w:space="0" w:color="auto"/>
            <w:bottom w:val="none" w:sz="0" w:space="0" w:color="auto"/>
            <w:right w:val="none" w:sz="0" w:space="0" w:color="auto"/>
          </w:divBdr>
        </w:div>
        <w:div w:id="1057362716">
          <w:marLeft w:val="0"/>
          <w:marRight w:val="0"/>
          <w:marTop w:val="0"/>
          <w:marBottom w:val="0"/>
          <w:divBdr>
            <w:top w:val="none" w:sz="0" w:space="0" w:color="auto"/>
            <w:left w:val="none" w:sz="0" w:space="0" w:color="auto"/>
            <w:bottom w:val="none" w:sz="0" w:space="0" w:color="auto"/>
            <w:right w:val="none" w:sz="0" w:space="0" w:color="auto"/>
          </w:divBdr>
        </w:div>
        <w:div w:id="439834870">
          <w:marLeft w:val="0"/>
          <w:marRight w:val="0"/>
          <w:marTop w:val="0"/>
          <w:marBottom w:val="0"/>
          <w:divBdr>
            <w:top w:val="none" w:sz="0" w:space="0" w:color="auto"/>
            <w:left w:val="none" w:sz="0" w:space="0" w:color="auto"/>
            <w:bottom w:val="none" w:sz="0" w:space="0" w:color="auto"/>
            <w:right w:val="none" w:sz="0" w:space="0" w:color="auto"/>
          </w:divBdr>
        </w:div>
        <w:div w:id="84770021">
          <w:marLeft w:val="0"/>
          <w:marRight w:val="0"/>
          <w:marTop w:val="0"/>
          <w:marBottom w:val="0"/>
          <w:divBdr>
            <w:top w:val="none" w:sz="0" w:space="0" w:color="auto"/>
            <w:left w:val="none" w:sz="0" w:space="0" w:color="auto"/>
            <w:bottom w:val="none" w:sz="0" w:space="0" w:color="auto"/>
            <w:right w:val="none" w:sz="0" w:space="0" w:color="auto"/>
          </w:divBdr>
        </w:div>
        <w:div w:id="2130128400">
          <w:marLeft w:val="0"/>
          <w:marRight w:val="0"/>
          <w:marTop w:val="0"/>
          <w:marBottom w:val="0"/>
          <w:divBdr>
            <w:top w:val="none" w:sz="0" w:space="0" w:color="auto"/>
            <w:left w:val="none" w:sz="0" w:space="0" w:color="auto"/>
            <w:bottom w:val="none" w:sz="0" w:space="0" w:color="auto"/>
            <w:right w:val="none" w:sz="0" w:space="0" w:color="auto"/>
          </w:divBdr>
        </w:div>
        <w:div w:id="1083184615">
          <w:marLeft w:val="0"/>
          <w:marRight w:val="0"/>
          <w:marTop w:val="0"/>
          <w:marBottom w:val="0"/>
          <w:divBdr>
            <w:top w:val="none" w:sz="0" w:space="0" w:color="auto"/>
            <w:left w:val="none" w:sz="0" w:space="0" w:color="auto"/>
            <w:bottom w:val="none" w:sz="0" w:space="0" w:color="auto"/>
            <w:right w:val="none" w:sz="0" w:space="0" w:color="auto"/>
          </w:divBdr>
        </w:div>
      </w:divsChild>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ngland.nhs.uk/commissioning/wp-content/uploads/sites/12/2015/11/gp-fedrtion-pension-q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jr49@leicester.ac.uk"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429B-4D26-4CA4-8A3A-96560728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19</cp:revision>
  <cp:lastPrinted>2018-02-21T11:59:00Z</cp:lastPrinted>
  <dcterms:created xsi:type="dcterms:W3CDTF">2018-07-03T08:53:00Z</dcterms:created>
  <dcterms:modified xsi:type="dcterms:W3CDTF">2018-07-04T11:50:00Z</dcterms:modified>
</cp:coreProperties>
</file>