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5392018" wp14:editId="5B912956">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Chief Operating Officer Report –</w:t>
      </w:r>
      <w:r w:rsidR="00155058">
        <w:rPr>
          <w:rFonts w:cs="Arial"/>
          <w:b/>
          <w:iCs/>
          <w:sz w:val="22"/>
          <w:szCs w:val="22"/>
          <w:u w:val="single"/>
        </w:rPr>
        <w:t xml:space="preserve"> April</w:t>
      </w:r>
      <w:r w:rsidR="006558C0">
        <w:rPr>
          <w:rFonts w:cs="Arial"/>
          <w:b/>
          <w:iCs/>
          <w:sz w:val="22"/>
          <w:szCs w:val="22"/>
          <w:u w:val="single"/>
        </w:rPr>
        <w:t xml:space="preserve"> 2019</w:t>
      </w:r>
    </w:p>
    <w:p w:rsidR="00DA09E0" w:rsidRDefault="00DA09E0" w:rsidP="00DA09E0">
      <w:pPr>
        <w:widowControl w:val="0"/>
        <w:autoSpaceDE w:val="0"/>
        <w:autoSpaceDN w:val="0"/>
        <w:adjustRightInd w:val="0"/>
        <w:jc w:val="center"/>
        <w:rPr>
          <w:rFonts w:cs="Arial"/>
          <w:b/>
          <w:iCs/>
          <w:sz w:val="22"/>
          <w:szCs w:val="22"/>
        </w:rPr>
      </w:pPr>
    </w:p>
    <w:p w:rsidR="00B3052A" w:rsidRDefault="00B3052A" w:rsidP="00DA09E0">
      <w:pPr>
        <w:widowControl w:val="0"/>
        <w:autoSpaceDE w:val="0"/>
        <w:autoSpaceDN w:val="0"/>
        <w:adjustRightInd w:val="0"/>
        <w:jc w:val="center"/>
        <w:rPr>
          <w:rFonts w:cs="Arial"/>
          <w:b/>
          <w:iCs/>
          <w:sz w:val="22"/>
          <w:szCs w:val="22"/>
        </w:rPr>
      </w:pPr>
    </w:p>
    <w:p w:rsidR="00EF3F08" w:rsidRPr="004F4BCD" w:rsidRDefault="00EF3F08" w:rsidP="00EF3F08">
      <w:pPr>
        <w:pStyle w:val="ListParagraph"/>
        <w:spacing w:line="276" w:lineRule="auto"/>
        <w:rPr>
          <w:rFonts w:cs="Arial"/>
          <w:b/>
          <w:sz w:val="22"/>
          <w:szCs w:val="22"/>
          <w:lang w:val="en-GB"/>
        </w:rPr>
      </w:pPr>
    </w:p>
    <w:p w:rsidR="00EF3F08" w:rsidRDefault="00EF3F08" w:rsidP="00EF3F0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EF3F08" w:rsidRPr="00CA1D16"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 xml:space="preserve">We continue to provide </w:t>
      </w:r>
      <w:r w:rsidRPr="00CA1D16">
        <w:rPr>
          <w:rFonts w:cs="Arial"/>
          <w:sz w:val="22"/>
          <w:szCs w:val="22"/>
          <w:lang w:val="en-GB"/>
        </w:rPr>
        <w:t xml:space="preserve">support to Localities in implementing </w:t>
      </w:r>
      <w:r>
        <w:rPr>
          <w:rFonts w:cs="Arial"/>
          <w:sz w:val="22"/>
          <w:szCs w:val="22"/>
          <w:lang w:val="en-GB"/>
        </w:rPr>
        <w:t>their transformation fund projects</w:t>
      </w: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The Federation is now holding the following contracts on behalf of practices.</w:t>
      </w:r>
    </w:p>
    <w:p w:rsidR="00EF3F08" w:rsidRDefault="00EF3F08" w:rsidP="00EF3F08">
      <w:pPr>
        <w:spacing w:line="276" w:lineRule="auto"/>
        <w:rPr>
          <w:rFonts w:cs="Arial"/>
          <w:sz w:val="22"/>
          <w:szCs w:val="22"/>
          <w:lang w:val="en-GB"/>
        </w:rPr>
      </w:pPr>
    </w:p>
    <w:tbl>
      <w:tblPr>
        <w:tblStyle w:val="TableGrid"/>
        <w:tblW w:w="0" w:type="auto"/>
        <w:tblLook w:val="04A0" w:firstRow="1" w:lastRow="0" w:firstColumn="1" w:lastColumn="0" w:noHBand="0" w:noVBand="1"/>
      </w:tblPr>
      <w:tblGrid>
        <w:gridCol w:w="1668"/>
        <w:gridCol w:w="3118"/>
        <w:gridCol w:w="2693"/>
        <w:gridCol w:w="1763"/>
      </w:tblGrid>
      <w:tr w:rsidR="00EF3F08" w:rsidRPr="00D16122" w:rsidTr="00711F06">
        <w:tc>
          <w:tcPr>
            <w:tcW w:w="1668"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Locality</w:t>
            </w:r>
          </w:p>
        </w:tc>
        <w:tc>
          <w:tcPr>
            <w:tcW w:w="3118"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Contractor</w:t>
            </w:r>
          </w:p>
        </w:tc>
        <w:tc>
          <w:tcPr>
            <w:tcW w:w="2693"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 xml:space="preserve">Project </w:t>
            </w:r>
          </w:p>
        </w:tc>
        <w:tc>
          <w:tcPr>
            <w:tcW w:w="1763"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Duration</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Harborough</w:t>
            </w:r>
          </w:p>
        </w:tc>
        <w:tc>
          <w:tcPr>
            <w:tcW w:w="311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7</w:t>
            </w:r>
            <w:r w:rsidRPr="00D16122">
              <w:rPr>
                <w:rFonts w:asciiTheme="minorHAnsi" w:hAnsiTheme="minorHAnsi" w:cs="Arial"/>
                <w:sz w:val="22"/>
                <w:szCs w:val="22"/>
                <w:lang w:val="en-GB"/>
              </w:rPr>
              <w:t xml:space="preserve">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O&amp;W</w:t>
            </w:r>
          </w:p>
        </w:tc>
        <w:tc>
          <w:tcPr>
            <w:tcW w:w="311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SLAM</w:t>
            </w:r>
          </w:p>
        </w:tc>
        <w:tc>
          <w:tcPr>
            <w:tcW w:w="311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ECP</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All</w:t>
            </w:r>
          </w:p>
        </w:tc>
        <w:tc>
          <w:tcPr>
            <w:tcW w:w="311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Clarity Informatics</w:t>
            </w:r>
          </w:p>
        </w:tc>
        <w:tc>
          <w:tcPr>
            <w:tcW w:w="2693" w:type="dxa"/>
          </w:tcPr>
          <w:p w:rsidR="00EF3F08" w:rsidRPr="00D16122" w:rsidRDefault="00EF3F08" w:rsidP="00711F06">
            <w:pPr>
              <w:spacing w:line="276" w:lineRule="auto"/>
              <w:rPr>
                <w:rFonts w:asciiTheme="minorHAnsi" w:hAnsiTheme="minorHAnsi" w:cs="Arial"/>
                <w:sz w:val="22"/>
                <w:szCs w:val="22"/>
                <w:lang w:val="en-GB"/>
              </w:rPr>
            </w:pPr>
            <w:proofErr w:type="spellStart"/>
            <w:r>
              <w:rPr>
                <w:rFonts w:asciiTheme="minorHAnsi" w:hAnsiTheme="minorHAnsi" w:cs="Arial"/>
                <w:sz w:val="22"/>
                <w:szCs w:val="22"/>
                <w:lang w:val="en-GB"/>
              </w:rPr>
              <w:t>GPTeamNet</w:t>
            </w:r>
            <w:proofErr w:type="spellEnd"/>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12 months</w:t>
            </w:r>
          </w:p>
        </w:tc>
      </w:tr>
      <w:tr w:rsidR="00EF3F08" w:rsidRPr="00D16122" w:rsidTr="00711F06">
        <w:tc>
          <w:tcPr>
            <w:tcW w:w="1668" w:type="dxa"/>
          </w:tcPr>
          <w:p w:rsidR="00EF3F08" w:rsidRPr="00D16122" w:rsidRDefault="0015505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Rutland</w:t>
            </w:r>
          </w:p>
        </w:tc>
        <w:tc>
          <w:tcPr>
            <w:tcW w:w="3118" w:type="dxa"/>
          </w:tcPr>
          <w:p w:rsidR="00EF3F08" w:rsidRPr="00D16122" w:rsidRDefault="0015505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rsidR="00EF3F08" w:rsidRPr="00D16122" w:rsidRDefault="0015505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ECP (to be finalised)</w:t>
            </w:r>
          </w:p>
        </w:tc>
        <w:tc>
          <w:tcPr>
            <w:tcW w:w="1763" w:type="dxa"/>
          </w:tcPr>
          <w:p w:rsidR="00EF3F08" w:rsidRPr="00D16122" w:rsidRDefault="0015505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3 months</w:t>
            </w:r>
          </w:p>
        </w:tc>
      </w:tr>
    </w:tbl>
    <w:p w:rsidR="00EF3F08" w:rsidRPr="00D16122" w:rsidRDefault="00EF3F08" w:rsidP="00EF3F08">
      <w:pPr>
        <w:spacing w:line="276" w:lineRule="auto"/>
        <w:rPr>
          <w:rFonts w:cs="Arial"/>
          <w:sz w:val="22"/>
          <w:szCs w:val="22"/>
          <w:lang w:val="en-GB"/>
        </w:rPr>
      </w:pP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The First Contact Physio and ECP contracts are progressing well and GP time is being saved.</w:t>
      </w:r>
    </w:p>
    <w:p w:rsidR="00EF3F08" w:rsidRDefault="00155058" w:rsidP="00EF3F08">
      <w:pPr>
        <w:pStyle w:val="ListParagraph"/>
        <w:numPr>
          <w:ilvl w:val="0"/>
          <w:numId w:val="8"/>
        </w:numPr>
        <w:spacing w:line="276" w:lineRule="auto"/>
        <w:rPr>
          <w:rFonts w:cs="Arial"/>
          <w:sz w:val="22"/>
          <w:szCs w:val="22"/>
          <w:lang w:val="en-GB"/>
        </w:rPr>
      </w:pPr>
      <w:r>
        <w:rPr>
          <w:rFonts w:cs="Arial"/>
          <w:sz w:val="22"/>
          <w:szCs w:val="22"/>
          <w:lang w:val="en-GB"/>
        </w:rPr>
        <w:t>Harborough have decided to extend their pilot until March 2020.</w:t>
      </w:r>
    </w:p>
    <w:p w:rsidR="00155058" w:rsidRDefault="00155058" w:rsidP="00EF3F08">
      <w:pPr>
        <w:pStyle w:val="ListParagraph"/>
        <w:numPr>
          <w:ilvl w:val="0"/>
          <w:numId w:val="8"/>
        </w:numPr>
        <w:spacing w:line="276" w:lineRule="auto"/>
        <w:rPr>
          <w:rFonts w:cs="Arial"/>
          <w:sz w:val="22"/>
          <w:szCs w:val="22"/>
          <w:lang w:val="en-GB"/>
        </w:rPr>
      </w:pPr>
      <w:r>
        <w:rPr>
          <w:rFonts w:cs="Arial"/>
          <w:sz w:val="22"/>
          <w:szCs w:val="22"/>
          <w:lang w:val="en-GB"/>
        </w:rPr>
        <w:t>OWI are reviewing their options and will decide on next steps at their April Locality meeting.</w:t>
      </w:r>
    </w:p>
    <w:p w:rsidR="00DC5F26" w:rsidRDefault="00DC5F26" w:rsidP="00EF3F08">
      <w:pPr>
        <w:pStyle w:val="ListParagraph"/>
        <w:numPr>
          <w:ilvl w:val="0"/>
          <w:numId w:val="8"/>
        </w:numPr>
        <w:spacing w:line="276" w:lineRule="auto"/>
        <w:rPr>
          <w:rFonts w:cs="Arial"/>
          <w:sz w:val="22"/>
          <w:szCs w:val="22"/>
          <w:lang w:val="en-GB"/>
        </w:rPr>
      </w:pPr>
      <w:r>
        <w:rPr>
          <w:rFonts w:cs="Arial"/>
          <w:sz w:val="22"/>
          <w:szCs w:val="22"/>
          <w:lang w:val="en-GB"/>
        </w:rPr>
        <w:t xml:space="preserve">The Rutland ECP pilot </w:t>
      </w:r>
      <w:r w:rsidR="00155058">
        <w:rPr>
          <w:rFonts w:cs="Arial"/>
          <w:sz w:val="22"/>
          <w:szCs w:val="22"/>
          <w:lang w:val="en-GB"/>
        </w:rPr>
        <w:t>has started and will run for three months.</w:t>
      </w:r>
    </w:p>
    <w:p w:rsidR="00055B17" w:rsidRDefault="00055B17" w:rsidP="00EF3F08">
      <w:pPr>
        <w:pStyle w:val="ListParagraph"/>
        <w:numPr>
          <w:ilvl w:val="0"/>
          <w:numId w:val="8"/>
        </w:numPr>
        <w:spacing w:line="276" w:lineRule="auto"/>
        <w:rPr>
          <w:rFonts w:cs="Arial"/>
          <w:sz w:val="22"/>
          <w:szCs w:val="22"/>
          <w:lang w:val="en-GB"/>
        </w:rPr>
      </w:pPr>
      <w:r>
        <w:rPr>
          <w:rFonts w:cs="Arial"/>
          <w:sz w:val="22"/>
          <w:szCs w:val="22"/>
          <w:lang w:val="en-GB"/>
        </w:rPr>
        <w:t>LHMP are considering joining the SLAM pilot in Q1.</w:t>
      </w:r>
    </w:p>
    <w:p w:rsidR="00EF3F08" w:rsidRPr="00155058" w:rsidRDefault="00EF3F08" w:rsidP="00EF3F08">
      <w:pPr>
        <w:pStyle w:val="ListParagraph"/>
        <w:numPr>
          <w:ilvl w:val="0"/>
          <w:numId w:val="8"/>
        </w:numPr>
        <w:spacing w:line="276" w:lineRule="auto"/>
        <w:rPr>
          <w:rFonts w:cs="Arial"/>
          <w:sz w:val="22"/>
          <w:szCs w:val="22"/>
          <w:lang w:val="en-GB"/>
        </w:rPr>
      </w:pPr>
      <w:r w:rsidRPr="00155058">
        <w:rPr>
          <w:rFonts w:cs="Arial"/>
          <w:sz w:val="22"/>
          <w:szCs w:val="22"/>
          <w:lang w:val="en-GB"/>
        </w:rPr>
        <w:t xml:space="preserve">The Federation </w:t>
      </w:r>
      <w:r w:rsidR="00DC5F26" w:rsidRPr="00155058">
        <w:rPr>
          <w:rFonts w:cs="Arial"/>
          <w:sz w:val="22"/>
          <w:szCs w:val="22"/>
          <w:lang w:val="en-GB"/>
        </w:rPr>
        <w:t xml:space="preserve">will coordinate the Q4 update reports </w:t>
      </w:r>
      <w:r w:rsidR="00155058" w:rsidRPr="00155058">
        <w:rPr>
          <w:rFonts w:cs="Arial"/>
          <w:sz w:val="22"/>
          <w:szCs w:val="22"/>
          <w:lang w:val="en-GB"/>
        </w:rPr>
        <w:t xml:space="preserve">which will be reviewed at the final </w:t>
      </w:r>
      <w:r w:rsidRPr="00155058">
        <w:rPr>
          <w:rFonts w:cs="Arial"/>
          <w:sz w:val="22"/>
          <w:szCs w:val="22"/>
          <w:lang w:val="en-GB"/>
        </w:rPr>
        <w:t>CCG panel</w:t>
      </w:r>
      <w:r w:rsidR="00155058" w:rsidRPr="00155058">
        <w:rPr>
          <w:rFonts w:cs="Arial"/>
          <w:sz w:val="22"/>
          <w:szCs w:val="22"/>
          <w:lang w:val="en-GB"/>
        </w:rPr>
        <w:t xml:space="preserve"> in May 2019.  This will </w:t>
      </w:r>
      <w:r w:rsidR="00155058">
        <w:rPr>
          <w:rFonts w:cs="Arial"/>
          <w:sz w:val="22"/>
          <w:szCs w:val="22"/>
          <w:lang w:val="en-GB"/>
        </w:rPr>
        <w:t>include an overall summary of</w:t>
      </w:r>
      <w:r w:rsidR="00DC5F26" w:rsidRPr="00155058">
        <w:rPr>
          <w:rFonts w:cs="Arial"/>
          <w:sz w:val="22"/>
          <w:szCs w:val="22"/>
          <w:lang w:val="en-GB"/>
        </w:rPr>
        <w:t xml:space="preserve"> the achievements of the </w:t>
      </w:r>
      <w:r w:rsidR="00155058">
        <w:rPr>
          <w:rFonts w:cs="Arial"/>
          <w:sz w:val="22"/>
          <w:szCs w:val="22"/>
          <w:lang w:val="en-GB"/>
        </w:rPr>
        <w:t>TF projects and a comparison of</w:t>
      </w:r>
      <w:r w:rsidR="00DC5F26" w:rsidRPr="00155058">
        <w:rPr>
          <w:rFonts w:cs="Arial"/>
          <w:sz w:val="22"/>
          <w:szCs w:val="22"/>
          <w:lang w:val="en-GB"/>
        </w:rPr>
        <w:t xml:space="preserve"> similar projects, as appropriate.</w:t>
      </w:r>
    </w:p>
    <w:p w:rsidR="00B3052A" w:rsidRDefault="00B3052A" w:rsidP="00135B56">
      <w:pPr>
        <w:spacing w:line="276" w:lineRule="auto"/>
        <w:rPr>
          <w:rFonts w:cs="Arial"/>
          <w:b/>
          <w:sz w:val="22"/>
          <w:szCs w:val="22"/>
          <w:lang w:val="en-GB"/>
        </w:rPr>
      </w:pPr>
    </w:p>
    <w:p w:rsidR="00055B17" w:rsidRPr="00135B56" w:rsidRDefault="00055B17" w:rsidP="00135B56">
      <w:pPr>
        <w:spacing w:line="276" w:lineRule="auto"/>
        <w:rPr>
          <w:rFonts w:cs="Arial"/>
          <w:b/>
          <w:sz w:val="22"/>
          <w:szCs w:val="22"/>
          <w:lang w:val="en-GB"/>
        </w:rPr>
      </w:pPr>
    </w:p>
    <w:p w:rsidR="00135B56" w:rsidRDefault="00135B56" w:rsidP="00135B56">
      <w:pPr>
        <w:pStyle w:val="ListParagraph"/>
        <w:numPr>
          <w:ilvl w:val="0"/>
          <w:numId w:val="1"/>
        </w:numPr>
        <w:spacing w:line="276" w:lineRule="auto"/>
        <w:rPr>
          <w:rFonts w:cs="Arial"/>
          <w:b/>
          <w:sz w:val="22"/>
          <w:szCs w:val="22"/>
          <w:lang w:val="en-GB"/>
        </w:rPr>
      </w:pPr>
      <w:r>
        <w:rPr>
          <w:rFonts w:cs="Arial"/>
          <w:b/>
          <w:sz w:val="22"/>
          <w:szCs w:val="22"/>
          <w:lang w:val="en-GB"/>
        </w:rPr>
        <w:t>Primary Care Networks</w:t>
      </w:r>
    </w:p>
    <w:p w:rsidR="00163B74" w:rsidRDefault="007978E6" w:rsidP="00163B74">
      <w:pPr>
        <w:pStyle w:val="ListParagraph"/>
        <w:numPr>
          <w:ilvl w:val="0"/>
          <w:numId w:val="28"/>
        </w:numPr>
        <w:spacing w:after="225" w:line="330" w:lineRule="atLeast"/>
        <w:textAlignment w:val="baseline"/>
        <w:rPr>
          <w:rFonts w:eastAsia="Times New Roman" w:cs="Times New Roman"/>
          <w:color w:val="000000"/>
          <w:sz w:val="22"/>
          <w:szCs w:val="22"/>
          <w:lang w:eastAsia="en-GB"/>
        </w:rPr>
      </w:pPr>
      <w:r>
        <w:rPr>
          <w:rFonts w:eastAsia="Times New Roman" w:cs="Times New Roman"/>
          <w:color w:val="000000"/>
          <w:sz w:val="22"/>
          <w:szCs w:val="22"/>
          <w:lang w:eastAsia="en-GB"/>
        </w:rPr>
        <w:t>PCN</w:t>
      </w:r>
      <w:r w:rsidR="00163B74">
        <w:rPr>
          <w:rFonts w:eastAsia="Times New Roman" w:cs="Times New Roman"/>
          <w:color w:val="000000"/>
          <w:sz w:val="22"/>
          <w:szCs w:val="22"/>
          <w:lang w:eastAsia="en-GB"/>
        </w:rPr>
        <w:t xml:space="preserve">s are being established in the six ELR Localities.  </w:t>
      </w:r>
    </w:p>
    <w:p w:rsidR="00163B74" w:rsidRPr="00163B74" w:rsidRDefault="00163B74" w:rsidP="00163B74">
      <w:pPr>
        <w:pStyle w:val="ListParagraph"/>
        <w:numPr>
          <w:ilvl w:val="0"/>
          <w:numId w:val="28"/>
        </w:numPr>
        <w:spacing w:after="225" w:line="330" w:lineRule="atLeast"/>
        <w:textAlignment w:val="baseline"/>
        <w:rPr>
          <w:rFonts w:eastAsia="Times New Roman" w:cs="Times New Roman"/>
          <w:b/>
          <w:color w:val="000000"/>
          <w:sz w:val="22"/>
          <w:szCs w:val="22"/>
          <w:lang w:eastAsia="en-GB"/>
        </w:rPr>
      </w:pPr>
      <w:r>
        <w:rPr>
          <w:rFonts w:eastAsia="Times New Roman" w:cs="Times New Roman"/>
          <w:color w:val="000000"/>
          <w:sz w:val="22"/>
          <w:szCs w:val="22"/>
          <w:lang w:eastAsia="en-GB"/>
        </w:rPr>
        <w:t xml:space="preserve">The Federation has developed a proposal to support the Localities to develop as PCNs – see </w:t>
      </w:r>
      <w:r w:rsidRPr="00163B74">
        <w:rPr>
          <w:rFonts w:eastAsia="Times New Roman" w:cs="Times New Roman"/>
          <w:b/>
          <w:color w:val="000000"/>
          <w:sz w:val="22"/>
          <w:szCs w:val="22"/>
          <w:lang w:eastAsia="en-GB"/>
        </w:rPr>
        <w:t>appendix 1.</w:t>
      </w:r>
    </w:p>
    <w:p w:rsidR="007978E6" w:rsidRDefault="00414376" w:rsidP="00414376">
      <w:pPr>
        <w:pStyle w:val="ListParagraph"/>
        <w:numPr>
          <w:ilvl w:val="0"/>
          <w:numId w:val="28"/>
        </w:numPr>
        <w:spacing w:after="225" w:line="330" w:lineRule="atLeast"/>
        <w:textAlignment w:val="baseline"/>
        <w:rPr>
          <w:rFonts w:eastAsia="Times New Roman" w:cs="Times New Roman"/>
          <w:color w:val="000000"/>
          <w:sz w:val="22"/>
          <w:szCs w:val="22"/>
          <w:lang w:eastAsia="en-GB"/>
        </w:rPr>
      </w:pPr>
      <w:r>
        <w:rPr>
          <w:rFonts w:eastAsia="Times New Roman" w:cs="Times New Roman"/>
          <w:color w:val="000000"/>
          <w:sz w:val="22"/>
          <w:szCs w:val="22"/>
          <w:lang w:eastAsia="en-GB"/>
        </w:rPr>
        <w:t>Localities have asked the Federation to provide a fee structure that includes a breakdown of costs.</w:t>
      </w:r>
    </w:p>
    <w:p w:rsidR="00414376" w:rsidRDefault="00414376" w:rsidP="00414376">
      <w:pPr>
        <w:pStyle w:val="ListParagraph"/>
        <w:numPr>
          <w:ilvl w:val="0"/>
          <w:numId w:val="28"/>
        </w:numPr>
        <w:spacing w:after="225" w:line="330" w:lineRule="atLeast"/>
        <w:textAlignment w:val="baseline"/>
        <w:rPr>
          <w:rFonts w:eastAsia="Times New Roman" w:cs="Times New Roman"/>
          <w:color w:val="000000"/>
          <w:sz w:val="22"/>
          <w:szCs w:val="22"/>
          <w:lang w:eastAsia="en-GB"/>
        </w:rPr>
      </w:pPr>
      <w:r>
        <w:rPr>
          <w:rFonts w:eastAsia="Times New Roman" w:cs="Times New Roman"/>
          <w:color w:val="000000"/>
          <w:sz w:val="22"/>
          <w:szCs w:val="22"/>
          <w:lang w:eastAsia="en-GB"/>
        </w:rPr>
        <w:t>The Federation is running the OWI ACD recruitment process; fee @ £500 – which will be absorbed into the overall support fee if they decide to opt for a</w:t>
      </w:r>
      <w:r w:rsidR="00755985">
        <w:rPr>
          <w:rFonts w:eastAsia="Times New Roman" w:cs="Times New Roman"/>
          <w:color w:val="000000"/>
          <w:sz w:val="22"/>
          <w:szCs w:val="22"/>
          <w:lang w:eastAsia="en-GB"/>
        </w:rPr>
        <w:t xml:space="preserve"> more extensive support package </w:t>
      </w:r>
      <w:r w:rsidR="00755985" w:rsidRPr="00755985">
        <w:rPr>
          <w:rFonts w:eastAsia="Times New Roman" w:cs="Times New Roman"/>
          <w:b/>
          <w:color w:val="000000"/>
          <w:sz w:val="22"/>
          <w:szCs w:val="22"/>
          <w:lang w:eastAsia="en-GB"/>
        </w:rPr>
        <w:t>(see ACD spec @ Appendix 2)</w:t>
      </w:r>
      <w:r w:rsidR="00755985">
        <w:rPr>
          <w:rFonts w:eastAsia="Times New Roman" w:cs="Times New Roman"/>
          <w:color w:val="000000"/>
          <w:sz w:val="22"/>
          <w:szCs w:val="22"/>
          <w:lang w:eastAsia="en-GB"/>
        </w:rPr>
        <w:t>.</w:t>
      </w:r>
    </w:p>
    <w:p w:rsidR="00EA3F49" w:rsidRDefault="00EA3F49" w:rsidP="00414376">
      <w:pPr>
        <w:pStyle w:val="ListParagraph"/>
        <w:numPr>
          <w:ilvl w:val="0"/>
          <w:numId w:val="28"/>
        </w:numPr>
        <w:spacing w:after="225" w:line="330" w:lineRule="atLeast"/>
        <w:textAlignment w:val="baseline"/>
        <w:rPr>
          <w:rFonts w:eastAsia="Times New Roman" w:cs="Times New Roman"/>
          <w:color w:val="000000"/>
          <w:sz w:val="22"/>
          <w:szCs w:val="22"/>
          <w:lang w:eastAsia="en-GB"/>
        </w:rPr>
      </w:pPr>
      <w:r>
        <w:rPr>
          <w:rFonts w:eastAsia="Times New Roman" w:cs="Times New Roman"/>
          <w:color w:val="000000"/>
          <w:sz w:val="22"/>
          <w:szCs w:val="22"/>
          <w:lang w:eastAsia="en-GB"/>
        </w:rPr>
        <w:t>JW / RB spoke with Peter Miller (CEO, LPT) regarding the development of PCNs and the idea of ‘freedom within a framework’; that there would be a level of consistency of approach and that the Federations could play an important role in facilitating this.</w:t>
      </w:r>
    </w:p>
    <w:p w:rsidR="00EA3F49" w:rsidRDefault="00EA3F49" w:rsidP="00414376">
      <w:pPr>
        <w:pStyle w:val="ListParagraph"/>
        <w:numPr>
          <w:ilvl w:val="0"/>
          <w:numId w:val="28"/>
        </w:numPr>
        <w:spacing w:after="225" w:line="330" w:lineRule="atLeast"/>
        <w:textAlignment w:val="baseline"/>
        <w:rPr>
          <w:rFonts w:eastAsia="Times New Roman" w:cs="Times New Roman"/>
          <w:color w:val="000000"/>
          <w:sz w:val="22"/>
          <w:szCs w:val="22"/>
          <w:lang w:eastAsia="en-GB"/>
        </w:rPr>
      </w:pPr>
      <w:r>
        <w:rPr>
          <w:rFonts w:eastAsia="Times New Roman" w:cs="Times New Roman"/>
          <w:color w:val="000000"/>
          <w:sz w:val="22"/>
          <w:szCs w:val="22"/>
          <w:lang w:eastAsia="en-GB"/>
        </w:rPr>
        <w:t xml:space="preserve">JW has spoken with </w:t>
      </w:r>
      <w:proofErr w:type="spellStart"/>
      <w:r>
        <w:rPr>
          <w:rFonts w:eastAsia="Times New Roman" w:cs="Times New Roman"/>
          <w:color w:val="000000"/>
          <w:sz w:val="22"/>
          <w:szCs w:val="22"/>
          <w:lang w:eastAsia="en-GB"/>
        </w:rPr>
        <w:t>Dr</w:t>
      </w:r>
      <w:proofErr w:type="spellEnd"/>
      <w:r>
        <w:rPr>
          <w:rFonts w:eastAsia="Times New Roman" w:cs="Times New Roman"/>
          <w:color w:val="000000"/>
          <w:sz w:val="22"/>
          <w:szCs w:val="22"/>
          <w:lang w:eastAsia="en-GB"/>
        </w:rPr>
        <w:t xml:space="preserve"> Noel O’Kelly (Clinical Director, LPT)</w:t>
      </w:r>
      <w:r w:rsidR="001A2888">
        <w:rPr>
          <w:rFonts w:eastAsia="Times New Roman" w:cs="Times New Roman"/>
          <w:color w:val="000000"/>
          <w:sz w:val="22"/>
          <w:szCs w:val="22"/>
          <w:lang w:eastAsia="en-GB"/>
        </w:rPr>
        <w:t xml:space="preserve"> and agreed that it is important to have a strategic conversation between primary and community care providers.  We will invite Noel</w:t>
      </w:r>
      <w:r w:rsidR="007A064F">
        <w:rPr>
          <w:rFonts w:eastAsia="Times New Roman" w:cs="Times New Roman"/>
          <w:color w:val="000000"/>
          <w:sz w:val="22"/>
          <w:szCs w:val="22"/>
          <w:lang w:eastAsia="en-GB"/>
        </w:rPr>
        <w:t xml:space="preserve"> and Jude Smith</w:t>
      </w:r>
      <w:r w:rsidR="001A2888">
        <w:rPr>
          <w:rFonts w:eastAsia="Times New Roman" w:cs="Times New Roman"/>
          <w:color w:val="000000"/>
          <w:sz w:val="22"/>
          <w:szCs w:val="22"/>
          <w:lang w:eastAsia="en-GB"/>
        </w:rPr>
        <w:t xml:space="preserve"> to the June 2019 Federation Board meeting.</w:t>
      </w:r>
    </w:p>
    <w:p w:rsidR="00B3052A" w:rsidRDefault="00B3052A">
      <w:pPr>
        <w:spacing w:after="200" w:line="276" w:lineRule="auto"/>
        <w:rPr>
          <w:rFonts w:cs="Arial"/>
          <w:b/>
          <w:sz w:val="22"/>
          <w:szCs w:val="22"/>
          <w:lang w:val="en-GB"/>
        </w:rPr>
      </w:pPr>
      <w:r>
        <w:rPr>
          <w:rFonts w:cs="Arial"/>
          <w:b/>
          <w:sz w:val="22"/>
          <w:szCs w:val="22"/>
          <w:lang w:val="en-GB"/>
        </w:rPr>
        <w:br w:type="page"/>
      </w:r>
    </w:p>
    <w:p w:rsidR="00135B56" w:rsidRPr="00414376" w:rsidRDefault="00135B56" w:rsidP="00414376">
      <w:pPr>
        <w:pStyle w:val="ListParagraph"/>
        <w:numPr>
          <w:ilvl w:val="0"/>
          <w:numId w:val="1"/>
        </w:numPr>
        <w:spacing w:line="276" w:lineRule="auto"/>
        <w:rPr>
          <w:rFonts w:cs="Arial"/>
          <w:b/>
          <w:sz w:val="22"/>
          <w:szCs w:val="22"/>
          <w:lang w:val="en-GB"/>
        </w:rPr>
      </w:pPr>
      <w:r w:rsidRPr="00414376">
        <w:rPr>
          <w:rFonts w:cs="Arial"/>
          <w:b/>
          <w:sz w:val="22"/>
          <w:szCs w:val="22"/>
          <w:lang w:val="en-GB"/>
        </w:rPr>
        <w:lastRenderedPageBreak/>
        <w:t>Business plan for FY19/20</w:t>
      </w:r>
    </w:p>
    <w:p w:rsidR="00135B56" w:rsidRDefault="00135B56" w:rsidP="00135B56">
      <w:pPr>
        <w:pStyle w:val="ListParagraph"/>
        <w:spacing w:line="276" w:lineRule="auto"/>
        <w:ind w:left="1440"/>
        <w:rPr>
          <w:rFonts w:cs="Arial"/>
          <w:sz w:val="22"/>
          <w:szCs w:val="22"/>
          <w:lang w:val="en-GB"/>
        </w:rPr>
      </w:pPr>
    </w:p>
    <w:p w:rsidR="00414376" w:rsidRPr="00414376" w:rsidRDefault="00414376" w:rsidP="006045F7">
      <w:pPr>
        <w:spacing w:line="276" w:lineRule="auto"/>
        <w:rPr>
          <w:rFonts w:eastAsiaTheme="minorHAnsi"/>
          <w:b/>
          <w:sz w:val="22"/>
          <w:szCs w:val="22"/>
          <w:u w:val="single"/>
          <w:lang w:val="en-GB"/>
        </w:rPr>
      </w:pPr>
      <w:r w:rsidRPr="00414376">
        <w:rPr>
          <w:rFonts w:eastAsiaTheme="minorHAnsi"/>
          <w:b/>
          <w:sz w:val="22"/>
          <w:szCs w:val="22"/>
          <w:u w:val="single"/>
          <w:lang w:val="en-GB"/>
        </w:rPr>
        <w:t>Where are we now?</w:t>
      </w:r>
    </w:p>
    <w:p w:rsidR="00414376" w:rsidRPr="00414376" w:rsidRDefault="001F0638" w:rsidP="006045F7">
      <w:pPr>
        <w:pStyle w:val="ListParagraph"/>
        <w:numPr>
          <w:ilvl w:val="0"/>
          <w:numId w:val="36"/>
        </w:numPr>
        <w:spacing w:line="276" w:lineRule="auto"/>
        <w:rPr>
          <w:rFonts w:eastAsiaTheme="minorHAnsi"/>
          <w:sz w:val="22"/>
          <w:szCs w:val="22"/>
          <w:lang w:val="en-GB"/>
        </w:rPr>
      </w:pPr>
      <w:r w:rsidRPr="001F0638">
        <w:rPr>
          <w:sz w:val="22"/>
          <w:szCs w:val="22"/>
        </w:rPr>
        <w:t>‘Change agent’</w:t>
      </w:r>
      <w:r>
        <w:rPr>
          <w:sz w:val="22"/>
          <w:szCs w:val="22"/>
        </w:rPr>
        <w:t xml:space="preserve">; </w:t>
      </w:r>
      <w:r w:rsidR="00414376" w:rsidRPr="00414376">
        <w:rPr>
          <w:rFonts w:eastAsiaTheme="minorHAnsi"/>
          <w:sz w:val="22"/>
          <w:szCs w:val="22"/>
          <w:lang w:val="en-GB"/>
        </w:rPr>
        <w:t xml:space="preserve">Practices have been grateful for the </w:t>
      </w:r>
      <w:r w:rsidR="00A3793C">
        <w:rPr>
          <w:rFonts w:eastAsiaTheme="minorHAnsi"/>
          <w:sz w:val="22"/>
          <w:szCs w:val="22"/>
          <w:lang w:val="en-GB"/>
        </w:rPr>
        <w:t xml:space="preserve">objective facilitation </w:t>
      </w:r>
      <w:r w:rsidR="00414376" w:rsidRPr="00414376">
        <w:rPr>
          <w:rFonts w:eastAsiaTheme="minorHAnsi"/>
          <w:sz w:val="22"/>
          <w:szCs w:val="22"/>
          <w:lang w:val="en-GB"/>
        </w:rPr>
        <w:t xml:space="preserve">support that has been provided for joint working </w:t>
      </w:r>
      <w:r w:rsidR="00B3052A">
        <w:rPr>
          <w:rFonts w:eastAsiaTheme="minorHAnsi"/>
          <w:sz w:val="22"/>
          <w:szCs w:val="22"/>
          <w:lang w:val="en-GB"/>
        </w:rPr>
        <w:t xml:space="preserve">/ Transformation Fund </w:t>
      </w:r>
      <w:r w:rsidR="00414376" w:rsidRPr="00414376">
        <w:rPr>
          <w:rFonts w:eastAsiaTheme="minorHAnsi"/>
          <w:sz w:val="22"/>
          <w:szCs w:val="22"/>
          <w:lang w:val="en-GB"/>
        </w:rPr>
        <w:t>projects</w:t>
      </w:r>
    </w:p>
    <w:p w:rsidR="00414376" w:rsidRDefault="00A3793C" w:rsidP="00414376">
      <w:pPr>
        <w:pStyle w:val="ListParagraph"/>
        <w:numPr>
          <w:ilvl w:val="0"/>
          <w:numId w:val="36"/>
        </w:numPr>
        <w:spacing w:after="200" w:line="276" w:lineRule="auto"/>
        <w:rPr>
          <w:rFonts w:eastAsiaTheme="minorHAnsi"/>
          <w:sz w:val="22"/>
          <w:szCs w:val="22"/>
          <w:lang w:val="en-GB"/>
        </w:rPr>
      </w:pPr>
      <w:r>
        <w:rPr>
          <w:rFonts w:eastAsiaTheme="minorHAnsi"/>
          <w:sz w:val="22"/>
          <w:szCs w:val="22"/>
          <w:lang w:val="en-GB"/>
        </w:rPr>
        <w:t>Project management / management c</w:t>
      </w:r>
      <w:r w:rsidR="00414376" w:rsidRPr="00414376">
        <w:rPr>
          <w:rFonts w:eastAsiaTheme="minorHAnsi"/>
          <w:sz w:val="22"/>
          <w:szCs w:val="22"/>
          <w:lang w:val="en-GB"/>
        </w:rPr>
        <w:t>onsultancy type support</w:t>
      </w:r>
    </w:p>
    <w:p w:rsidR="00B3052A" w:rsidRPr="00414376" w:rsidRDefault="00B3052A" w:rsidP="00414376">
      <w:pPr>
        <w:pStyle w:val="ListParagraph"/>
        <w:numPr>
          <w:ilvl w:val="0"/>
          <w:numId w:val="36"/>
        </w:numPr>
        <w:spacing w:after="200" w:line="276" w:lineRule="auto"/>
        <w:rPr>
          <w:rFonts w:eastAsiaTheme="minorHAnsi"/>
          <w:sz w:val="22"/>
          <w:szCs w:val="22"/>
          <w:lang w:val="en-GB"/>
        </w:rPr>
      </w:pPr>
      <w:r>
        <w:rPr>
          <w:rFonts w:eastAsiaTheme="minorHAnsi"/>
          <w:sz w:val="22"/>
          <w:szCs w:val="22"/>
          <w:lang w:val="en-GB"/>
        </w:rPr>
        <w:t>Hold a number of contracts on behalf of Practices</w:t>
      </w:r>
    </w:p>
    <w:p w:rsidR="00414376" w:rsidRPr="00414376" w:rsidRDefault="00B3052A" w:rsidP="00414376">
      <w:pPr>
        <w:pStyle w:val="ListParagraph"/>
        <w:numPr>
          <w:ilvl w:val="0"/>
          <w:numId w:val="36"/>
        </w:numPr>
        <w:spacing w:after="200" w:line="276" w:lineRule="auto"/>
        <w:rPr>
          <w:rFonts w:eastAsiaTheme="minorHAnsi"/>
          <w:sz w:val="22"/>
          <w:szCs w:val="22"/>
          <w:lang w:val="en-GB"/>
        </w:rPr>
      </w:pPr>
      <w:r>
        <w:rPr>
          <w:rFonts w:eastAsiaTheme="minorHAnsi"/>
          <w:sz w:val="22"/>
          <w:szCs w:val="22"/>
          <w:lang w:val="en-GB"/>
        </w:rPr>
        <w:t>Urgent care provider, in partnership with DHU</w:t>
      </w:r>
    </w:p>
    <w:p w:rsidR="00414376" w:rsidRDefault="00414376" w:rsidP="00414376">
      <w:pPr>
        <w:pStyle w:val="ListParagraph"/>
        <w:numPr>
          <w:ilvl w:val="0"/>
          <w:numId w:val="36"/>
        </w:numPr>
        <w:spacing w:after="200" w:line="276" w:lineRule="auto"/>
        <w:rPr>
          <w:rFonts w:eastAsiaTheme="minorHAnsi"/>
          <w:sz w:val="22"/>
          <w:szCs w:val="22"/>
          <w:lang w:val="en-GB"/>
        </w:rPr>
      </w:pPr>
      <w:r w:rsidRPr="00414376">
        <w:rPr>
          <w:rFonts w:eastAsiaTheme="minorHAnsi"/>
          <w:sz w:val="22"/>
          <w:szCs w:val="22"/>
          <w:lang w:val="en-GB"/>
        </w:rPr>
        <w:t>We are a ‘dot joiner’</w:t>
      </w:r>
    </w:p>
    <w:p w:rsidR="001F0638" w:rsidRPr="001F0638" w:rsidRDefault="001F0638" w:rsidP="001F0638">
      <w:pPr>
        <w:pStyle w:val="ListParagraph"/>
        <w:numPr>
          <w:ilvl w:val="0"/>
          <w:numId w:val="36"/>
        </w:numPr>
        <w:spacing w:line="276" w:lineRule="auto"/>
        <w:rPr>
          <w:rFonts w:eastAsia="Times New Roman"/>
          <w:color w:val="000000" w:themeColor="dark1"/>
          <w:kern w:val="24"/>
          <w:sz w:val="22"/>
          <w:szCs w:val="22"/>
          <w:lang w:eastAsia="en-GB"/>
        </w:rPr>
      </w:pPr>
      <w:r w:rsidRPr="001F0638">
        <w:rPr>
          <w:sz w:val="22"/>
          <w:szCs w:val="22"/>
        </w:rPr>
        <w:t>A</w:t>
      </w:r>
      <w:r w:rsidRPr="001F0638">
        <w:rPr>
          <w:rFonts w:eastAsia="Times New Roman"/>
          <w:color w:val="000000" w:themeColor="dark1"/>
          <w:kern w:val="24"/>
          <w:sz w:val="22"/>
          <w:szCs w:val="22"/>
          <w:lang w:eastAsia="en-GB"/>
        </w:rPr>
        <w:t xml:space="preserve"> key player &amp; partner in shaping place based integrated working </w:t>
      </w:r>
    </w:p>
    <w:p w:rsidR="001F0638" w:rsidRDefault="001F0638" w:rsidP="006045F7">
      <w:pPr>
        <w:spacing w:line="276" w:lineRule="auto"/>
        <w:rPr>
          <w:rFonts w:eastAsiaTheme="minorHAnsi"/>
          <w:b/>
          <w:sz w:val="22"/>
          <w:szCs w:val="22"/>
          <w:u w:val="single"/>
          <w:lang w:val="en-GB"/>
        </w:rPr>
      </w:pPr>
    </w:p>
    <w:p w:rsidR="00414376" w:rsidRPr="006045F7" w:rsidRDefault="00414376" w:rsidP="006045F7">
      <w:pPr>
        <w:spacing w:line="276" w:lineRule="auto"/>
        <w:rPr>
          <w:rFonts w:eastAsiaTheme="minorHAnsi"/>
          <w:b/>
          <w:sz w:val="22"/>
          <w:szCs w:val="22"/>
          <w:u w:val="single"/>
          <w:lang w:val="en-GB"/>
        </w:rPr>
      </w:pPr>
      <w:r w:rsidRPr="00414376">
        <w:rPr>
          <w:rFonts w:eastAsiaTheme="minorHAnsi"/>
          <w:b/>
          <w:sz w:val="22"/>
          <w:szCs w:val="22"/>
          <w:u w:val="single"/>
          <w:lang w:val="en-GB"/>
        </w:rPr>
        <w:t>Where do we want to be?</w:t>
      </w:r>
    </w:p>
    <w:p w:rsidR="008D0315" w:rsidRPr="00163B74" w:rsidRDefault="008D0315" w:rsidP="006045F7">
      <w:pPr>
        <w:numPr>
          <w:ilvl w:val="0"/>
          <w:numId w:val="33"/>
        </w:numPr>
        <w:autoSpaceDE w:val="0"/>
        <w:autoSpaceDN w:val="0"/>
        <w:adjustRightInd w:val="0"/>
        <w:spacing w:line="276" w:lineRule="auto"/>
        <w:ind w:left="360"/>
        <w:contextualSpacing/>
        <w:rPr>
          <w:rFonts w:eastAsiaTheme="minorHAnsi" w:cs="FrutigerLTCom-Light"/>
          <w:sz w:val="22"/>
          <w:szCs w:val="22"/>
          <w:lang w:val="en-GB"/>
        </w:rPr>
      </w:pPr>
      <w:r w:rsidRPr="00163B74">
        <w:rPr>
          <w:rFonts w:eastAsiaTheme="minorHAnsi" w:cs="FrutigerLTCom-Light"/>
          <w:b/>
          <w:sz w:val="22"/>
          <w:szCs w:val="22"/>
          <w:lang w:val="en-GB"/>
        </w:rPr>
        <w:t xml:space="preserve">Local service delivery &amp; business development - </w:t>
      </w:r>
      <w:r w:rsidRPr="00163B74">
        <w:rPr>
          <w:rFonts w:eastAsiaTheme="minorHAnsi" w:cs="FrutigerLTCom-Light"/>
          <w:sz w:val="22"/>
          <w:szCs w:val="22"/>
          <w:lang w:val="en-GB"/>
        </w:rPr>
        <w:t>facilitating the delivery of more services locally; bidding collectively and / or holding contracts where it is helpful to do so</w:t>
      </w:r>
    </w:p>
    <w:p w:rsidR="008D0315" w:rsidRPr="001F0638" w:rsidRDefault="008D0315" w:rsidP="008D0315">
      <w:pPr>
        <w:autoSpaceDE w:val="0"/>
        <w:autoSpaceDN w:val="0"/>
        <w:adjustRightInd w:val="0"/>
        <w:spacing w:line="276" w:lineRule="auto"/>
        <w:ind w:left="360"/>
        <w:contextualSpacing/>
        <w:rPr>
          <w:rFonts w:eastAsiaTheme="minorHAnsi" w:cs="FrutigerLTCom-Light"/>
          <w:sz w:val="16"/>
          <w:szCs w:val="16"/>
          <w:lang w:val="en-GB"/>
        </w:rPr>
      </w:pPr>
    </w:p>
    <w:p w:rsidR="008D0315" w:rsidRPr="00163B74" w:rsidRDefault="008D0315" w:rsidP="008D0315">
      <w:pPr>
        <w:numPr>
          <w:ilvl w:val="0"/>
          <w:numId w:val="33"/>
        </w:numPr>
        <w:autoSpaceDE w:val="0"/>
        <w:autoSpaceDN w:val="0"/>
        <w:adjustRightInd w:val="0"/>
        <w:spacing w:after="200" w:line="276" w:lineRule="auto"/>
        <w:ind w:left="360"/>
        <w:contextualSpacing/>
        <w:rPr>
          <w:rFonts w:eastAsiaTheme="minorHAnsi" w:cs="FrutigerLTCom-Light"/>
          <w:sz w:val="22"/>
          <w:szCs w:val="22"/>
          <w:lang w:val="en-GB"/>
        </w:rPr>
      </w:pPr>
      <w:r w:rsidRPr="00163B74">
        <w:rPr>
          <w:rFonts w:eastAsiaTheme="minorHAnsi" w:cs="FrutigerLTCom-Light"/>
          <w:b/>
          <w:sz w:val="22"/>
          <w:szCs w:val="22"/>
          <w:lang w:val="en-GB"/>
        </w:rPr>
        <w:t xml:space="preserve">Resilience and sustainability – </w:t>
      </w:r>
      <w:r w:rsidRPr="00163B74">
        <w:rPr>
          <w:rFonts w:eastAsiaTheme="minorHAnsi" w:cs="FrutigerLTCom-Light"/>
          <w:sz w:val="22"/>
          <w:szCs w:val="22"/>
          <w:lang w:val="en-GB"/>
        </w:rPr>
        <w:t>innovating and transforming the way that services are delivered to address the pressures currently faced in the local health care system</w:t>
      </w:r>
    </w:p>
    <w:p w:rsidR="008D0315" w:rsidRPr="001F0638" w:rsidRDefault="008D0315" w:rsidP="008D0315">
      <w:pPr>
        <w:spacing w:after="200" w:line="276" w:lineRule="auto"/>
        <w:contextualSpacing/>
        <w:rPr>
          <w:rFonts w:eastAsiaTheme="minorHAnsi" w:cs="FrutigerLTCom-Light"/>
          <w:sz w:val="16"/>
          <w:szCs w:val="16"/>
          <w:lang w:val="en-GB"/>
        </w:rPr>
      </w:pPr>
    </w:p>
    <w:p w:rsidR="008D0315" w:rsidRPr="008D0315" w:rsidRDefault="008D0315" w:rsidP="006045F7">
      <w:pPr>
        <w:numPr>
          <w:ilvl w:val="0"/>
          <w:numId w:val="33"/>
        </w:numPr>
        <w:autoSpaceDE w:val="0"/>
        <w:autoSpaceDN w:val="0"/>
        <w:adjustRightInd w:val="0"/>
        <w:spacing w:line="276" w:lineRule="auto"/>
        <w:ind w:left="360"/>
        <w:contextualSpacing/>
        <w:rPr>
          <w:rFonts w:eastAsiaTheme="minorHAnsi" w:cs="FrutigerLTCom-Light"/>
          <w:b/>
          <w:sz w:val="22"/>
          <w:szCs w:val="22"/>
          <w:lang w:val="en-GB"/>
        </w:rPr>
      </w:pPr>
      <w:r w:rsidRPr="00163B74">
        <w:rPr>
          <w:rFonts w:eastAsiaTheme="minorHAnsi" w:cs="FrutigerLTCom-Light"/>
          <w:b/>
          <w:sz w:val="22"/>
          <w:szCs w:val="22"/>
          <w:lang w:val="en-GB"/>
        </w:rPr>
        <w:t xml:space="preserve">Effective voice - </w:t>
      </w:r>
      <w:r w:rsidRPr="00163B74">
        <w:rPr>
          <w:rFonts w:eastAsiaTheme="minorHAnsi" w:cs="FrutigerLTCom-Light"/>
          <w:sz w:val="22"/>
          <w:szCs w:val="22"/>
          <w:lang w:val="en-GB"/>
        </w:rPr>
        <w:t xml:space="preserve">for our members across ELR </w:t>
      </w:r>
    </w:p>
    <w:p w:rsidR="008D0315" w:rsidRDefault="008D0315" w:rsidP="006045F7">
      <w:pPr>
        <w:pStyle w:val="ListParagraph"/>
        <w:rPr>
          <w:rFonts w:eastAsiaTheme="minorHAnsi" w:cs="FrutigerLTCom-Light"/>
          <w:b/>
          <w:sz w:val="22"/>
          <w:szCs w:val="22"/>
          <w:lang w:val="en-GB"/>
        </w:rPr>
      </w:pPr>
    </w:p>
    <w:p w:rsidR="008D0315" w:rsidRPr="00163B74" w:rsidRDefault="008D0315" w:rsidP="006045F7">
      <w:pPr>
        <w:rPr>
          <w:rFonts w:eastAsia="Calibri" w:cs="Times New Roman"/>
          <w:b/>
          <w:sz w:val="22"/>
          <w:szCs w:val="22"/>
          <w:u w:val="single"/>
          <w:lang w:val="en-GB"/>
        </w:rPr>
      </w:pPr>
      <w:r w:rsidRPr="00163B74">
        <w:rPr>
          <w:rFonts w:eastAsia="Calibri" w:cs="Times New Roman"/>
          <w:b/>
          <w:sz w:val="22"/>
          <w:szCs w:val="22"/>
          <w:u w:val="single"/>
          <w:lang w:val="en-GB"/>
        </w:rPr>
        <w:t xml:space="preserve">Figure 1 – </w:t>
      </w:r>
      <w:r>
        <w:rPr>
          <w:rFonts w:eastAsia="Calibri" w:cs="Times New Roman"/>
          <w:b/>
          <w:sz w:val="22"/>
          <w:szCs w:val="22"/>
          <w:u w:val="single"/>
          <w:lang w:val="en-GB"/>
        </w:rPr>
        <w:t>S</w:t>
      </w:r>
      <w:r w:rsidRPr="00163B74">
        <w:rPr>
          <w:rFonts w:eastAsia="Calibri" w:cs="Times New Roman"/>
          <w:b/>
          <w:sz w:val="22"/>
          <w:szCs w:val="22"/>
          <w:u w:val="single"/>
          <w:lang w:val="en-GB"/>
        </w:rPr>
        <w:t>tructure of PCNs and Federation</w:t>
      </w:r>
    </w:p>
    <w:p w:rsidR="008D0315" w:rsidRPr="00163B74" w:rsidRDefault="008D0315" w:rsidP="008D0315">
      <w:pPr>
        <w:autoSpaceDE w:val="0"/>
        <w:autoSpaceDN w:val="0"/>
        <w:adjustRightInd w:val="0"/>
        <w:spacing w:after="200" w:line="276" w:lineRule="auto"/>
        <w:ind w:left="360"/>
        <w:contextualSpacing/>
        <w:rPr>
          <w:rFonts w:eastAsiaTheme="minorHAnsi" w:cs="FrutigerLTCom-Light"/>
          <w:b/>
          <w:sz w:val="22"/>
          <w:szCs w:val="22"/>
          <w:lang w:val="en-GB"/>
        </w:rPr>
      </w:pPr>
    </w:p>
    <w:p w:rsidR="008D0315" w:rsidRPr="00414376" w:rsidRDefault="008D0315" w:rsidP="00414376">
      <w:pPr>
        <w:spacing w:after="200" w:line="276" w:lineRule="auto"/>
        <w:rPr>
          <w:rFonts w:eastAsiaTheme="minorHAnsi"/>
          <w:b/>
          <w:sz w:val="22"/>
          <w:szCs w:val="22"/>
          <w:lang w:val="en-GB"/>
        </w:rPr>
      </w:pPr>
      <w:r w:rsidRPr="00163B74">
        <w:rPr>
          <w:rFonts w:eastAsiaTheme="minorHAnsi"/>
          <w:noProof/>
          <w:sz w:val="22"/>
          <w:szCs w:val="22"/>
          <w:lang w:val="en-GB" w:eastAsia="en-GB"/>
        </w:rPr>
        <w:drawing>
          <wp:inline distT="0" distB="0" distL="0" distR="0" wp14:anchorId="1586335F" wp14:editId="586D92A3">
            <wp:extent cx="4306186" cy="15971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410" t="23567" r="3320" b="26114"/>
                    <a:stretch/>
                  </pic:blipFill>
                  <pic:spPr bwMode="auto">
                    <a:xfrm>
                      <a:off x="0" y="0"/>
                      <a:ext cx="4307888" cy="1597761"/>
                    </a:xfrm>
                    <a:prstGeom prst="rect">
                      <a:avLst/>
                    </a:prstGeom>
                    <a:ln>
                      <a:noFill/>
                    </a:ln>
                    <a:extLst>
                      <a:ext uri="{53640926-AAD7-44D8-BBD7-CCE9431645EC}">
                        <a14:shadowObscured xmlns:a14="http://schemas.microsoft.com/office/drawing/2010/main"/>
                      </a:ext>
                    </a:extLst>
                  </pic:spPr>
                </pic:pic>
              </a:graphicData>
            </a:graphic>
          </wp:inline>
        </w:drawing>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 xml:space="preserve">Locality </w:t>
      </w:r>
      <w:r>
        <w:rPr>
          <w:rFonts w:eastAsiaTheme="minorHAnsi"/>
          <w:sz w:val="22"/>
          <w:szCs w:val="22"/>
          <w:lang w:val="en-GB"/>
        </w:rPr>
        <w:t xml:space="preserve">/ PCN </w:t>
      </w:r>
      <w:r w:rsidRPr="00414376">
        <w:rPr>
          <w:rFonts w:eastAsiaTheme="minorHAnsi"/>
          <w:sz w:val="22"/>
          <w:szCs w:val="22"/>
          <w:lang w:val="en-GB"/>
        </w:rPr>
        <w:t>development</w:t>
      </w:r>
    </w:p>
    <w:p w:rsidR="00B3052A" w:rsidRPr="00414376" w:rsidRDefault="00B3052A" w:rsidP="00B3052A">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Merger support</w:t>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 xml:space="preserve">Demand management </w:t>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Referral hubs</w:t>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ELR wide project support – bids</w:t>
      </w:r>
      <w:r w:rsidR="00A3793C">
        <w:rPr>
          <w:rFonts w:eastAsiaTheme="minorHAnsi"/>
          <w:sz w:val="22"/>
          <w:szCs w:val="22"/>
          <w:lang w:val="en-GB"/>
        </w:rPr>
        <w:t xml:space="preserve"> &amp; implementation</w:t>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Urgent care</w:t>
      </w:r>
      <w:r w:rsidR="00B3052A">
        <w:rPr>
          <w:rFonts w:eastAsiaTheme="minorHAnsi"/>
          <w:sz w:val="22"/>
          <w:szCs w:val="22"/>
          <w:lang w:val="en-GB"/>
        </w:rPr>
        <w:t xml:space="preserve"> provider</w:t>
      </w:r>
    </w:p>
    <w:p w:rsidR="00414376" w:rsidRPr="00414376" w:rsidRDefault="00414376" w:rsidP="00414376">
      <w:pPr>
        <w:pStyle w:val="ListParagraph"/>
        <w:numPr>
          <w:ilvl w:val="0"/>
          <w:numId w:val="37"/>
        </w:numPr>
        <w:spacing w:after="200" w:line="276" w:lineRule="auto"/>
        <w:rPr>
          <w:rFonts w:eastAsiaTheme="minorHAnsi"/>
          <w:sz w:val="22"/>
          <w:szCs w:val="22"/>
          <w:lang w:val="en-GB"/>
        </w:rPr>
      </w:pPr>
      <w:r w:rsidRPr="00414376">
        <w:rPr>
          <w:rFonts w:eastAsiaTheme="minorHAnsi"/>
          <w:sz w:val="22"/>
          <w:szCs w:val="22"/>
          <w:lang w:val="en-GB"/>
        </w:rPr>
        <w:t>Back office support provider</w:t>
      </w:r>
    </w:p>
    <w:p w:rsidR="00414376" w:rsidRDefault="00414376" w:rsidP="00135B56">
      <w:pPr>
        <w:pStyle w:val="ListParagraph"/>
        <w:spacing w:line="276" w:lineRule="auto"/>
        <w:ind w:left="1440"/>
        <w:rPr>
          <w:rFonts w:cs="Arial"/>
          <w:sz w:val="22"/>
          <w:szCs w:val="22"/>
          <w:lang w:val="en-GB"/>
        </w:rPr>
      </w:pPr>
    </w:p>
    <w:p w:rsidR="00B3052A" w:rsidRPr="006045F7" w:rsidRDefault="00B3052A" w:rsidP="006045F7">
      <w:pPr>
        <w:spacing w:line="276" w:lineRule="auto"/>
        <w:rPr>
          <w:rFonts w:eastAsiaTheme="minorHAnsi"/>
          <w:b/>
          <w:sz w:val="22"/>
          <w:szCs w:val="22"/>
          <w:u w:val="single"/>
          <w:lang w:val="en-GB"/>
        </w:rPr>
      </w:pPr>
      <w:r w:rsidRPr="006045F7">
        <w:rPr>
          <w:rFonts w:eastAsiaTheme="minorHAnsi"/>
          <w:b/>
          <w:sz w:val="22"/>
          <w:szCs w:val="22"/>
          <w:u w:val="single"/>
          <w:lang w:val="en-GB"/>
        </w:rPr>
        <w:t>How do we get there / funding</w:t>
      </w:r>
      <w:r w:rsidRPr="00414376">
        <w:rPr>
          <w:rFonts w:eastAsiaTheme="minorHAnsi"/>
          <w:b/>
          <w:sz w:val="22"/>
          <w:szCs w:val="22"/>
          <w:u w:val="single"/>
          <w:lang w:val="en-GB"/>
        </w:rPr>
        <w:t>?</w:t>
      </w:r>
    </w:p>
    <w:p w:rsidR="006045F7" w:rsidRPr="001E0BED" w:rsidRDefault="006045F7" w:rsidP="006045F7">
      <w:pPr>
        <w:pStyle w:val="ListParagraph"/>
        <w:numPr>
          <w:ilvl w:val="0"/>
          <w:numId w:val="10"/>
        </w:numPr>
        <w:spacing w:line="276" w:lineRule="auto"/>
        <w:rPr>
          <w:rFonts w:cs="Arial"/>
          <w:b/>
          <w:sz w:val="22"/>
          <w:szCs w:val="22"/>
          <w:lang w:val="en-GB"/>
        </w:rPr>
      </w:pPr>
      <w:r>
        <w:rPr>
          <w:rFonts w:cs="Arial"/>
          <w:sz w:val="22"/>
          <w:szCs w:val="22"/>
          <w:lang w:val="en-GB"/>
        </w:rPr>
        <w:t>Key income streams will be;</w:t>
      </w:r>
    </w:p>
    <w:p w:rsidR="006045F7" w:rsidRPr="00C267B1" w:rsidRDefault="006045F7" w:rsidP="00C267B1">
      <w:pPr>
        <w:pStyle w:val="ListParagraph"/>
        <w:numPr>
          <w:ilvl w:val="0"/>
          <w:numId w:val="50"/>
        </w:numPr>
        <w:spacing w:line="276" w:lineRule="auto"/>
        <w:rPr>
          <w:rFonts w:cs="Arial"/>
          <w:b/>
          <w:sz w:val="22"/>
          <w:szCs w:val="22"/>
          <w:lang w:val="en-GB"/>
        </w:rPr>
      </w:pPr>
      <w:r>
        <w:rPr>
          <w:rFonts w:cs="Arial"/>
          <w:sz w:val="22"/>
          <w:szCs w:val="22"/>
          <w:lang w:val="en-GB"/>
        </w:rPr>
        <w:t>PCN development (</w:t>
      </w:r>
      <w:proofErr w:type="spellStart"/>
      <w:r>
        <w:rPr>
          <w:rFonts w:cs="Arial"/>
          <w:sz w:val="22"/>
          <w:szCs w:val="22"/>
          <w:lang w:val="en-GB"/>
        </w:rPr>
        <w:t>incl</w:t>
      </w:r>
      <w:proofErr w:type="spellEnd"/>
      <w:r>
        <w:rPr>
          <w:rFonts w:cs="Arial"/>
          <w:sz w:val="22"/>
          <w:szCs w:val="22"/>
          <w:lang w:val="en-GB"/>
        </w:rPr>
        <w:t xml:space="preserve"> demand management) @ c£60K to 80K </w:t>
      </w:r>
      <w:r w:rsidRPr="00C267B1">
        <w:rPr>
          <w:rFonts w:cs="Arial"/>
          <w:b/>
          <w:sz w:val="22"/>
          <w:szCs w:val="22"/>
          <w:lang w:val="en-GB"/>
        </w:rPr>
        <w:t>(TBC</w:t>
      </w:r>
      <w:r w:rsidR="00C267B1">
        <w:rPr>
          <w:rFonts w:cs="Arial"/>
          <w:b/>
          <w:sz w:val="22"/>
          <w:szCs w:val="22"/>
          <w:lang w:val="en-GB"/>
        </w:rPr>
        <w:t>/negotiated with PCNs</w:t>
      </w:r>
      <w:r w:rsidRPr="00C267B1">
        <w:rPr>
          <w:rFonts w:cs="Arial"/>
          <w:b/>
          <w:sz w:val="22"/>
          <w:szCs w:val="22"/>
          <w:lang w:val="en-GB"/>
        </w:rPr>
        <w:t>)</w:t>
      </w:r>
    </w:p>
    <w:p w:rsidR="006045F7" w:rsidRDefault="006045F7" w:rsidP="00C267B1">
      <w:pPr>
        <w:pStyle w:val="ListParagraph"/>
        <w:numPr>
          <w:ilvl w:val="0"/>
          <w:numId w:val="50"/>
        </w:numPr>
        <w:spacing w:line="276" w:lineRule="auto"/>
        <w:rPr>
          <w:rFonts w:cs="Arial"/>
          <w:sz w:val="22"/>
          <w:szCs w:val="22"/>
          <w:lang w:val="en-GB"/>
        </w:rPr>
      </w:pPr>
      <w:r>
        <w:rPr>
          <w:rFonts w:cs="Arial"/>
          <w:sz w:val="22"/>
          <w:szCs w:val="22"/>
          <w:lang w:val="en-GB"/>
        </w:rPr>
        <w:t xml:space="preserve">Urgent Care (DHU) @ c£50K </w:t>
      </w:r>
    </w:p>
    <w:p w:rsidR="006045F7" w:rsidRDefault="006045F7" w:rsidP="00C267B1">
      <w:pPr>
        <w:pStyle w:val="ListParagraph"/>
        <w:numPr>
          <w:ilvl w:val="0"/>
          <w:numId w:val="50"/>
        </w:numPr>
        <w:spacing w:line="276" w:lineRule="auto"/>
        <w:rPr>
          <w:rFonts w:cs="Arial"/>
          <w:sz w:val="22"/>
          <w:szCs w:val="22"/>
          <w:lang w:val="en-GB"/>
        </w:rPr>
      </w:pPr>
      <w:r>
        <w:rPr>
          <w:rFonts w:cs="Arial"/>
          <w:sz w:val="22"/>
          <w:szCs w:val="22"/>
          <w:lang w:val="en-GB"/>
        </w:rPr>
        <w:t>H Pylori, CBS, GDPR @ £10-£15K</w:t>
      </w:r>
    </w:p>
    <w:p w:rsidR="006045F7" w:rsidRDefault="006045F7" w:rsidP="00C267B1">
      <w:pPr>
        <w:pStyle w:val="ListParagraph"/>
        <w:numPr>
          <w:ilvl w:val="0"/>
          <w:numId w:val="50"/>
        </w:numPr>
        <w:spacing w:line="276" w:lineRule="auto"/>
        <w:rPr>
          <w:rFonts w:cs="Arial"/>
          <w:sz w:val="22"/>
          <w:szCs w:val="22"/>
          <w:lang w:val="en-GB"/>
        </w:rPr>
      </w:pPr>
      <w:r>
        <w:rPr>
          <w:rFonts w:cs="Arial"/>
          <w:sz w:val="22"/>
          <w:szCs w:val="22"/>
          <w:lang w:val="en-GB"/>
        </w:rPr>
        <w:t>TF funds c/</w:t>
      </w:r>
      <w:proofErr w:type="spellStart"/>
      <w:r>
        <w:rPr>
          <w:rFonts w:cs="Arial"/>
          <w:sz w:val="22"/>
          <w:szCs w:val="22"/>
          <w:lang w:val="en-GB"/>
        </w:rPr>
        <w:t>fwd</w:t>
      </w:r>
      <w:proofErr w:type="spellEnd"/>
      <w:r>
        <w:rPr>
          <w:rFonts w:cs="Arial"/>
          <w:sz w:val="22"/>
          <w:szCs w:val="22"/>
          <w:lang w:val="en-GB"/>
        </w:rPr>
        <w:t xml:space="preserve"> @ £40 - 50K (TBC)</w:t>
      </w:r>
    </w:p>
    <w:p w:rsidR="006045F7" w:rsidRDefault="006045F7" w:rsidP="006045F7">
      <w:pPr>
        <w:pStyle w:val="ListParagraph"/>
        <w:spacing w:line="276" w:lineRule="auto"/>
        <w:ind w:left="360"/>
        <w:rPr>
          <w:rFonts w:cs="Arial"/>
          <w:i/>
          <w:sz w:val="22"/>
          <w:szCs w:val="22"/>
          <w:lang w:val="en-GB"/>
        </w:rPr>
      </w:pPr>
      <w:r w:rsidRPr="00E75AD2">
        <w:rPr>
          <w:rFonts w:cs="Arial"/>
          <w:b/>
          <w:i/>
          <w:sz w:val="22"/>
          <w:szCs w:val="22"/>
          <w:lang w:val="en-GB"/>
        </w:rPr>
        <w:t>Note;</w:t>
      </w:r>
      <w:r>
        <w:rPr>
          <w:rFonts w:cs="Arial"/>
          <w:i/>
          <w:sz w:val="22"/>
          <w:szCs w:val="22"/>
          <w:lang w:val="en-GB"/>
        </w:rPr>
        <w:t xml:space="preserve"> all these numbers</w:t>
      </w:r>
      <w:r w:rsidRPr="00E75AD2">
        <w:rPr>
          <w:rFonts w:cs="Arial"/>
          <w:i/>
          <w:sz w:val="22"/>
          <w:szCs w:val="22"/>
          <w:lang w:val="en-GB"/>
        </w:rPr>
        <w:t xml:space="preserve"> are quoted before the impact of VAT</w:t>
      </w:r>
    </w:p>
    <w:p w:rsidR="00B3052A" w:rsidRDefault="00B3052A" w:rsidP="00135B56">
      <w:pPr>
        <w:pStyle w:val="ListParagraph"/>
        <w:spacing w:line="276" w:lineRule="auto"/>
        <w:ind w:left="1440"/>
        <w:rPr>
          <w:rFonts w:cs="Arial"/>
          <w:sz w:val="22"/>
          <w:szCs w:val="22"/>
          <w:lang w:val="en-GB"/>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F168EA" w:rsidRDefault="00470A02"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proofErr w:type="spellStart"/>
      <w:r>
        <w:rPr>
          <w:rFonts w:cs="Arial"/>
          <w:sz w:val="22"/>
          <w:szCs w:val="22"/>
        </w:rPr>
        <w:t>Bushloe</w:t>
      </w:r>
      <w:proofErr w:type="spellEnd"/>
      <w:r>
        <w:rPr>
          <w:rFonts w:cs="Arial"/>
          <w:sz w:val="22"/>
          <w:szCs w:val="22"/>
        </w:rPr>
        <w:t xml:space="preserve"> </w:t>
      </w:r>
      <w:r w:rsidR="00126432">
        <w:rPr>
          <w:rFonts w:cs="Arial"/>
          <w:sz w:val="22"/>
          <w:szCs w:val="22"/>
        </w:rPr>
        <w:t xml:space="preserve">&amp; Croft Practices </w:t>
      </w:r>
      <w:r w:rsidR="006045F7">
        <w:rPr>
          <w:rFonts w:cs="Arial"/>
          <w:sz w:val="22"/>
          <w:szCs w:val="22"/>
        </w:rPr>
        <w:t xml:space="preserve">have finalized an agreement to act as sub-contractors </w:t>
      </w:r>
      <w:r>
        <w:rPr>
          <w:rFonts w:cs="Arial"/>
          <w:sz w:val="22"/>
          <w:szCs w:val="22"/>
        </w:rPr>
        <w:t xml:space="preserve">to </w:t>
      </w:r>
      <w:r w:rsidR="006045F7">
        <w:rPr>
          <w:rFonts w:cs="Arial"/>
          <w:sz w:val="22"/>
          <w:szCs w:val="22"/>
        </w:rPr>
        <w:t>provide</w:t>
      </w:r>
      <w:r w:rsidR="00CD2658">
        <w:rPr>
          <w:rFonts w:cs="Arial"/>
          <w:sz w:val="22"/>
          <w:szCs w:val="22"/>
        </w:rPr>
        <w:t xml:space="preserve"> the GPs in core hours at the </w:t>
      </w:r>
      <w:proofErr w:type="spellStart"/>
      <w:r w:rsidR="00CD2658">
        <w:rPr>
          <w:rFonts w:cs="Arial"/>
          <w:sz w:val="22"/>
          <w:szCs w:val="22"/>
        </w:rPr>
        <w:t>Oadby</w:t>
      </w:r>
      <w:proofErr w:type="spellEnd"/>
      <w:r w:rsidR="00CD2658">
        <w:rPr>
          <w:rFonts w:cs="Arial"/>
          <w:sz w:val="22"/>
          <w:szCs w:val="22"/>
        </w:rPr>
        <w:t xml:space="preserve"> UCC.</w:t>
      </w:r>
    </w:p>
    <w:p w:rsidR="008170C9" w:rsidRDefault="006045F7"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pilot to</w:t>
      </w:r>
      <w:r w:rsidR="008170C9">
        <w:rPr>
          <w:rFonts w:cs="Arial"/>
          <w:sz w:val="22"/>
          <w:szCs w:val="22"/>
        </w:rPr>
        <w:t xml:space="preserve"> implement the ‘UCC booking pathway’; whereby Practices will make slots availabl</w:t>
      </w:r>
      <w:r>
        <w:rPr>
          <w:rFonts w:cs="Arial"/>
          <w:sz w:val="22"/>
          <w:szCs w:val="22"/>
        </w:rPr>
        <w:t>e for UCC to book directly into has started.</w:t>
      </w:r>
    </w:p>
    <w:p w:rsidR="006045F7" w:rsidRDefault="006045F7"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A General Meeting will take place on 22</w:t>
      </w:r>
      <w:r w:rsidRPr="006045F7">
        <w:rPr>
          <w:rFonts w:cs="Arial"/>
          <w:sz w:val="22"/>
          <w:szCs w:val="22"/>
          <w:vertAlign w:val="superscript"/>
        </w:rPr>
        <w:t>nd</w:t>
      </w:r>
      <w:r>
        <w:rPr>
          <w:rFonts w:cs="Arial"/>
          <w:sz w:val="22"/>
          <w:szCs w:val="22"/>
        </w:rPr>
        <w:t xml:space="preserve"> May 2019 to confirm a resolution of Shareholders to enter into a Joint Venture with DHU – </w:t>
      </w:r>
      <w:r w:rsidR="00755985">
        <w:rPr>
          <w:rFonts w:cs="Arial"/>
          <w:b/>
          <w:sz w:val="22"/>
          <w:szCs w:val="22"/>
        </w:rPr>
        <w:t>see paper @ Appendix 3</w:t>
      </w:r>
      <w:r>
        <w:rPr>
          <w:rFonts w:cs="Arial"/>
          <w:sz w:val="22"/>
          <w:szCs w:val="22"/>
        </w:rPr>
        <w:t>.</w:t>
      </w:r>
    </w:p>
    <w:p w:rsidR="00632B94" w:rsidRDefault="00632B94"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From 2021 PCNs will be responsible for Extended Care which may impact on the contract</w:t>
      </w:r>
      <w:r>
        <w:rPr>
          <w:rFonts w:cs="Arial"/>
          <w:sz w:val="22"/>
          <w:szCs w:val="22"/>
        </w:rPr>
        <w:br/>
      </w:r>
    </w:p>
    <w:p w:rsidR="00EA39BC" w:rsidRPr="000C3CBA" w:rsidRDefault="00FE543E" w:rsidP="000C3CBA">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AD2EFF" w:rsidRDefault="00B068C2" w:rsidP="00163B74">
      <w:pPr>
        <w:pStyle w:val="ListParagraph"/>
        <w:numPr>
          <w:ilvl w:val="0"/>
          <w:numId w:val="9"/>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LMC L</w:t>
      </w:r>
      <w:r w:rsidR="00AD2EFF">
        <w:rPr>
          <w:rFonts w:eastAsia="Times New Roman" w:cs="Times New Roman"/>
          <w:color w:val="333333"/>
          <w:sz w:val="22"/>
          <w:szCs w:val="22"/>
          <w:lang w:val="en-GB" w:eastAsia="en-GB"/>
        </w:rPr>
        <w:t xml:space="preserve">aw </w:t>
      </w:r>
      <w:proofErr w:type="gramStart"/>
      <w:r w:rsidR="00E73061">
        <w:rPr>
          <w:rFonts w:eastAsia="Times New Roman" w:cs="Times New Roman"/>
          <w:color w:val="333333"/>
          <w:sz w:val="22"/>
          <w:szCs w:val="22"/>
          <w:lang w:val="en-GB" w:eastAsia="en-GB"/>
        </w:rPr>
        <w:t>have</w:t>
      </w:r>
      <w:proofErr w:type="gramEnd"/>
      <w:r w:rsidR="00E73061">
        <w:rPr>
          <w:rFonts w:eastAsia="Times New Roman" w:cs="Times New Roman"/>
          <w:color w:val="333333"/>
          <w:sz w:val="22"/>
          <w:szCs w:val="22"/>
          <w:lang w:val="en-GB" w:eastAsia="en-GB"/>
        </w:rPr>
        <w:t xml:space="preserve"> </w:t>
      </w:r>
      <w:r w:rsidR="006731FA">
        <w:rPr>
          <w:rFonts w:eastAsia="Times New Roman" w:cs="Times New Roman"/>
          <w:color w:val="333333"/>
          <w:sz w:val="22"/>
          <w:szCs w:val="22"/>
          <w:lang w:val="en-GB" w:eastAsia="en-GB"/>
        </w:rPr>
        <w:t>drafted a contract which has been circulated to Practices and PSS have confirmed is satisfactory.</w:t>
      </w:r>
    </w:p>
    <w:p w:rsidR="00E73061" w:rsidRDefault="00E73061" w:rsidP="00163B74">
      <w:pPr>
        <w:pStyle w:val="ListParagraph"/>
        <w:numPr>
          <w:ilvl w:val="0"/>
          <w:numId w:val="9"/>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PSS </w:t>
      </w:r>
      <w:r w:rsidR="000C3CBA">
        <w:rPr>
          <w:rFonts w:eastAsia="Times New Roman" w:cs="Times New Roman"/>
          <w:color w:val="333333"/>
          <w:sz w:val="22"/>
          <w:szCs w:val="22"/>
          <w:lang w:val="en-GB" w:eastAsia="en-GB"/>
        </w:rPr>
        <w:t xml:space="preserve">have </w:t>
      </w:r>
      <w:r w:rsidR="006731FA">
        <w:rPr>
          <w:rFonts w:eastAsia="Times New Roman" w:cs="Times New Roman"/>
          <w:color w:val="333333"/>
          <w:sz w:val="22"/>
          <w:szCs w:val="22"/>
          <w:lang w:val="en-GB" w:eastAsia="en-GB"/>
        </w:rPr>
        <w:t>advised a start date @ 1</w:t>
      </w:r>
      <w:r w:rsidR="006731FA" w:rsidRPr="006731FA">
        <w:rPr>
          <w:rFonts w:eastAsia="Times New Roman" w:cs="Times New Roman"/>
          <w:color w:val="333333"/>
          <w:sz w:val="22"/>
          <w:szCs w:val="22"/>
          <w:vertAlign w:val="superscript"/>
          <w:lang w:val="en-GB" w:eastAsia="en-GB"/>
        </w:rPr>
        <w:t>st</w:t>
      </w:r>
      <w:r w:rsidR="006731FA">
        <w:rPr>
          <w:rFonts w:eastAsia="Times New Roman" w:cs="Times New Roman"/>
          <w:color w:val="333333"/>
          <w:sz w:val="22"/>
          <w:szCs w:val="22"/>
          <w:lang w:val="en-GB" w:eastAsia="en-GB"/>
        </w:rPr>
        <w:t xml:space="preserve"> June 2019</w:t>
      </w:r>
      <w:r w:rsidR="000C3CBA">
        <w:rPr>
          <w:rFonts w:eastAsia="Times New Roman" w:cs="Times New Roman"/>
          <w:color w:val="333333"/>
          <w:sz w:val="22"/>
          <w:szCs w:val="22"/>
          <w:lang w:val="en-GB" w:eastAsia="en-GB"/>
        </w:rPr>
        <w:t>.</w:t>
      </w:r>
    </w:p>
    <w:p w:rsidR="006731FA" w:rsidRDefault="006731FA" w:rsidP="00163B74">
      <w:pPr>
        <w:pStyle w:val="ListParagraph"/>
        <w:numPr>
          <w:ilvl w:val="0"/>
          <w:numId w:val="9"/>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We are arranging for the Lead Practices to complete the Enhanced Service Agreement with NHS E.</w:t>
      </w:r>
    </w:p>
    <w:p w:rsidR="00AD2EFF" w:rsidRPr="00E73061" w:rsidRDefault="00AD2EFF" w:rsidP="00E73061">
      <w:pPr>
        <w:spacing w:line="276" w:lineRule="auto"/>
        <w:ind w:left="360"/>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w:t>
      </w:r>
    </w:p>
    <w:p w:rsidR="000C3CBA" w:rsidRDefault="00256D16" w:rsidP="000C3CBA">
      <w:pPr>
        <w:pStyle w:val="ListParagraph"/>
        <w:numPr>
          <w:ilvl w:val="0"/>
          <w:numId w:val="3"/>
        </w:numPr>
        <w:spacing w:line="276" w:lineRule="auto"/>
        <w:rPr>
          <w:rFonts w:cs="Arial"/>
          <w:sz w:val="22"/>
          <w:szCs w:val="22"/>
          <w:lang w:val="en-GB"/>
        </w:rPr>
      </w:pPr>
      <w:r>
        <w:rPr>
          <w:rFonts w:cs="Arial"/>
          <w:sz w:val="22"/>
          <w:szCs w:val="22"/>
          <w:lang w:val="en-GB"/>
        </w:rPr>
        <w:t xml:space="preserve">Leicestershire CC has </w:t>
      </w:r>
      <w:r w:rsidR="006731FA">
        <w:rPr>
          <w:rFonts w:cs="Arial"/>
          <w:sz w:val="22"/>
          <w:szCs w:val="22"/>
          <w:lang w:val="en-GB"/>
        </w:rPr>
        <w:t>written to confirm</w:t>
      </w:r>
      <w:r>
        <w:rPr>
          <w:rFonts w:cs="Arial"/>
          <w:sz w:val="22"/>
          <w:szCs w:val="22"/>
          <w:lang w:val="en-GB"/>
        </w:rPr>
        <w:t xml:space="preserve"> that our contract will </w:t>
      </w:r>
      <w:r w:rsidR="006731FA">
        <w:rPr>
          <w:rFonts w:cs="Arial"/>
          <w:sz w:val="22"/>
          <w:szCs w:val="22"/>
          <w:lang w:val="en-GB"/>
        </w:rPr>
        <w:t>be extended into the third year; JW to confirm with the sub-contracting Practices</w:t>
      </w:r>
      <w:r w:rsidR="000C3CBA">
        <w:rPr>
          <w:rFonts w:cs="Arial"/>
          <w:sz w:val="22"/>
          <w:szCs w:val="22"/>
          <w:lang w:val="en-GB"/>
        </w:rPr>
        <w:t>.</w:t>
      </w:r>
    </w:p>
    <w:p w:rsidR="006731FA" w:rsidRDefault="006731FA" w:rsidP="000C3CBA">
      <w:pPr>
        <w:pStyle w:val="ListParagraph"/>
        <w:numPr>
          <w:ilvl w:val="0"/>
          <w:numId w:val="3"/>
        </w:numPr>
        <w:spacing w:line="276" w:lineRule="auto"/>
        <w:rPr>
          <w:rFonts w:cs="Arial"/>
          <w:sz w:val="22"/>
          <w:szCs w:val="22"/>
          <w:lang w:val="en-GB"/>
        </w:rPr>
      </w:pPr>
      <w:r>
        <w:rPr>
          <w:rFonts w:cs="Arial"/>
          <w:sz w:val="22"/>
          <w:szCs w:val="22"/>
          <w:lang w:val="en-GB"/>
        </w:rPr>
        <w:t>LMC Law have provided advice regarding</w:t>
      </w:r>
      <w:r w:rsidR="00E742DA">
        <w:rPr>
          <w:rFonts w:cs="Arial"/>
          <w:sz w:val="22"/>
          <w:szCs w:val="22"/>
          <w:lang w:val="en-GB"/>
        </w:rPr>
        <w:t xml:space="preserve"> the new indemnity arrangements – see below;</w:t>
      </w:r>
    </w:p>
    <w:p w:rsidR="00E742DA" w:rsidRDefault="00E742DA" w:rsidP="00E742DA">
      <w:pPr>
        <w:spacing w:line="276" w:lineRule="auto"/>
        <w:rPr>
          <w:rFonts w:cs="Arial"/>
          <w:sz w:val="22"/>
          <w:szCs w:val="22"/>
          <w:lang w:val="en-GB"/>
        </w:rPr>
      </w:pPr>
    </w:p>
    <w:p w:rsidR="00E742DA" w:rsidRPr="00E742DA" w:rsidRDefault="00E742DA" w:rsidP="00E742DA">
      <w:pPr>
        <w:spacing w:line="276" w:lineRule="auto"/>
        <w:ind w:left="720"/>
        <w:rPr>
          <w:rFonts w:cs="Arial"/>
          <w:i/>
          <w:sz w:val="22"/>
          <w:szCs w:val="22"/>
          <w:lang w:val="en-GB"/>
        </w:rPr>
      </w:pPr>
      <w:r w:rsidRPr="00E742DA">
        <w:rPr>
          <w:rFonts w:ascii="Helvetica" w:hAnsi="Helvetica"/>
          <w:i/>
          <w:color w:val="333333"/>
          <w:sz w:val="18"/>
          <w:szCs w:val="18"/>
        </w:rPr>
        <w:t>Dear James</w:t>
      </w:r>
      <w:proofErr w:type="gramStart"/>
      <w:r w:rsidRPr="00E742DA">
        <w:rPr>
          <w:rFonts w:ascii="Helvetica" w:hAnsi="Helvetica"/>
          <w:i/>
          <w:color w:val="333333"/>
          <w:sz w:val="18"/>
          <w:szCs w:val="18"/>
        </w:rPr>
        <w:t>,</w:t>
      </w:r>
      <w:proofErr w:type="gramEnd"/>
      <w:r w:rsidRPr="00E742DA">
        <w:rPr>
          <w:rFonts w:ascii="Helvetica" w:hAnsi="Helvetica"/>
          <w:i/>
          <w:color w:val="333333"/>
          <w:sz w:val="18"/>
          <w:szCs w:val="18"/>
        </w:rPr>
        <w:br/>
      </w:r>
      <w:r w:rsidRPr="00E742DA">
        <w:rPr>
          <w:rFonts w:ascii="Helvetica" w:hAnsi="Helvetica"/>
          <w:i/>
          <w:color w:val="333333"/>
          <w:sz w:val="18"/>
          <w:szCs w:val="18"/>
        </w:rPr>
        <w:br/>
        <w:t>Apologies for the delay.</w:t>
      </w:r>
      <w:r w:rsidRPr="00E742DA">
        <w:rPr>
          <w:rFonts w:ascii="Helvetica" w:hAnsi="Helvetica"/>
          <w:i/>
          <w:color w:val="333333"/>
          <w:sz w:val="18"/>
          <w:szCs w:val="18"/>
        </w:rPr>
        <w:br/>
      </w:r>
      <w:r w:rsidRPr="00E742DA">
        <w:rPr>
          <w:rFonts w:ascii="Helvetica" w:hAnsi="Helvetica"/>
          <w:i/>
          <w:color w:val="333333"/>
          <w:sz w:val="18"/>
          <w:szCs w:val="18"/>
        </w:rPr>
        <w:br/>
        <w:t>I have looked at the guidance and the scheme details and the advice contained within your email.</w:t>
      </w:r>
      <w:r w:rsidRPr="00E742DA">
        <w:rPr>
          <w:rFonts w:ascii="Helvetica" w:hAnsi="Helvetica"/>
          <w:i/>
          <w:color w:val="333333"/>
          <w:sz w:val="18"/>
          <w:szCs w:val="18"/>
        </w:rPr>
        <w:br/>
      </w:r>
      <w:r w:rsidRPr="00E742DA">
        <w:rPr>
          <w:rFonts w:ascii="Helvetica" w:hAnsi="Helvetica"/>
          <w:i/>
          <w:color w:val="333333"/>
          <w:sz w:val="18"/>
          <w:szCs w:val="18"/>
        </w:rPr>
        <w:br/>
        <w:t xml:space="preserve">As far as the guidance goes relating to the CNSGP - </w:t>
      </w:r>
      <w:proofErr w:type="spellStart"/>
      <w:r w:rsidRPr="00E742DA">
        <w:rPr>
          <w:rFonts w:ascii="Helvetica" w:hAnsi="Helvetica"/>
          <w:i/>
          <w:color w:val="333333"/>
          <w:sz w:val="18"/>
          <w:szCs w:val="18"/>
        </w:rPr>
        <w:t>organisations</w:t>
      </w:r>
      <w:proofErr w:type="spellEnd"/>
      <w:r w:rsidRPr="00E742DA">
        <w:rPr>
          <w:rFonts w:ascii="Helvetica" w:hAnsi="Helvetica"/>
          <w:i/>
          <w:color w:val="333333"/>
          <w:sz w:val="18"/>
          <w:szCs w:val="18"/>
        </w:rPr>
        <w:t xml:space="preserve"> are covered if they provide primary medical services where those have been commissioned by a provider whose main function is to provide/commission those services.</w:t>
      </w:r>
      <w:r w:rsidRPr="00E742DA">
        <w:rPr>
          <w:rFonts w:ascii="Helvetica" w:hAnsi="Helvetica"/>
          <w:i/>
          <w:color w:val="333333"/>
          <w:sz w:val="18"/>
          <w:szCs w:val="18"/>
        </w:rPr>
        <w:br/>
      </w:r>
      <w:r w:rsidRPr="00E742DA">
        <w:rPr>
          <w:rFonts w:ascii="Helvetica" w:hAnsi="Helvetica"/>
          <w:i/>
          <w:color w:val="333333"/>
          <w:sz w:val="18"/>
          <w:szCs w:val="18"/>
        </w:rPr>
        <w:br/>
        <w:t xml:space="preserve">My reading of this is that as a federation, if you are commissioned to provide primary medical services under a core contract then you are covered. If you are commissioned by a local authority for the provision of public health services, then you are also covered. If you fall into those categories you are treated as a part 4 </w:t>
      </w:r>
      <w:proofErr w:type="gramStart"/>
      <w:r w:rsidRPr="00E742DA">
        <w:rPr>
          <w:rFonts w:ascii="Helvetica" w:hAnsi="Helvetica"/>
          <w:i/>
          <w:color w:val="333333"/>
          <w:sz w:val="18"/>
          <w:szCs w:val="18"/>
        </w:rPr>
        <w:t>contractor</w:t>
      </w:r>
      <w:proofErr w:type="gramEnd"/>
      <w:r w:rsidRPr="00E742DA">
        <w:rPr>
          <w:rFonts w:ascii="Helvetica" w:hAnsi="Helvetica"/>
          <w:i/>
          <w:color w:val="333333"/>
          <w:sz w:val="18"/>
          <w:szCs w:val="18"/>
        </w:rPr>
        <w:t xml:space="preserve"> and therefore, the GPs you sub-contract to are also covered.</w:t>
      </w:r>
      <w:r w:rsidRPr="00E742DA">
        <w:rPr>
          <w:rFonts w:ascii="Helvetica" w:hAnsi="Helvetica"/>
          <w:i/>
          <w:color w:val="333333"/>
          <w:sz w:val="18"/>
          <w:szCs w:val="18"/>
        </w:rPr>
        <w:br/>
      </w:r>
      <w:r w:rsidRPr="00E742DA">
        <w:rPr>
          <w:rFonts w:ascii="Helvetica" w:hAnsi="Helvetica"/>
          <w:i/>
          <w:color w:val="333333"/>
          <w:sz w:val="18"/>
          <w:szCs w:val="18"/>
        </w:rPr>
        <w:br/>
        <w:t>Not all federations will fall under a Part 4 contractor so that may mean any sub-contractors are not covered under the CNSGP.</w:t>
      </w:r>
      <w:r w:rsidRPr="00E742DA">
        <w:rPr>
          <w:rFonts w:ascii="Helvetica" w:hAnsi="Helvetica"/>
          <w:i/>
          <w:color w:val="333333"/>
          <w:sz w:val="18"/>
          <w:szCs w:val="18"/>
        </w:rPr>
        <w:br/>
      </w:r>
      <w:r w:rsidRPr="00E742DA">
        <w:rPr>
          <w:rFonts w:ascii="Helvetica" w:hAnsi="Helvetica"/>
          <w:i/>
          <w:color w:val="333333"/>
          <w:sz w:val="18"/>
          <w:szCs w:val="18"/>
        </w:rPr>
        <w:br/>
        <w:t>The same rules would apply I believe in terms of a federation holding a Network DES - as long as they are providing in hours primary care services then they are entitled to hold the DES.</w:t>
      </w:r>
      <w:r w:rsidRPr="00E742DA">
        <w:rPr>
          <w:rFonts w:ascii="Helvetica" w:hAnsi="Helvetica"/>
          <w:i/>
          <w:color w:val="333333"/>
          <w:sz w:val="18"/>
          <w:szCs w:val="18"/>
        </w:rPr>
        <w:br/>
      </w:r>
      <w:r w:rsidRPr="00E742DA">
        <w:rPr>
          <w:rFonts w:ascii="Helvetica" w:hAnsi="Helvetica"/>
          <w:i/>
          <w:color w:val="333333"/>
          <w:sz w:val="18"/>
          <w:szCs w:val="18"/>
        </w:rPr>
        <w:br/>
        <w:t>The rules are still a little unclear, but with all guidance and information out there at present, this seems to be the clearest scenario.</w:t>
      </w:r>
      <w:r w:rsidRPr="00E742DA">
        <w:rPr>
          <w:rFonts w:ascii="Helvetica" w:hAnsi="Helvetica"/>
          <w:i/>
          <w:color w:val="333333"/>
          <w:sz w:val="18"/>
          <w:szCs w:val="18"/>
        </w:rPr>
        <w:br/>
      </w:r>
      <w:r w:rsidRPr="00E742DA">
        <w:rPr>
          <w:rFonts w:ascii="Helvetica" w:hAnsi="Helvetica"/>
          <w:i/>
          <w:color w:val="333333"/>
          <w:sz w:val="18"/>
          <w:szCs w:val="18"/>
        </w:rPr>
        <w:br/>
      </w:r>
      <w:proofErr w:type="spellStart"/>
      <w:r w:rsidRPr="00E742DA">
        <w:rPr>
          <w:rFonts w:ascii="Helvetica" w:hAnsi="Helvetica"/>
          <w:i/>
          <w:color w:val="333333"/>
          <w:sz w:val="18"/>
          <w:szCs w:val="18"/>
        </w:rPr>
        <w:t>Shanee</w:t>
      </w:r>
      <w:proofErr w:type="spellEnd"/>
    </w:p>
    <w:p w:rsidR="00E742DA" w:rsidRPr="00E742DA" w:rsidRDefault="00E742DA" w:rsidP="00E742DA">
      <w:pPr>
        <w:spacing w:line="276" w:lineRule="auto"/>
        <w:ind w:left="720"/>
        <w:rPr>
          <w:rFonts w:cs="Arial"/>
          <w:i/>
          <w:sz w:val="22"/>
          <w:szCs w:val="22"/>
          <w:lang w:val="en-GB"/>
        </w:rPr>
      </w:pPr>
    </w:p>
    <w:p w:rsidR="004E0317"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3C2086">
        <w:rPr>
          <w:rFonts w:cs="Arial"/>
          <w:sz w:val="22"/>
          <w:szCs w:val="22"/>
          <w:lang w:val="en-GB"/>
        </w:rPr>
        <w:t xml:space="preserve">is confirming with </w:t>
      </w:r>
      <w:r>
        <w:rPr>
          <w:rFonts w:cs="Arial"/>
          <w:sz w:val="22"/>
          <w:szCs w:val="22"/>
          <w:lang w:val="en-GB"/>
        </w:rPr>
        <w:t xml:space="preserve">our sub-contracting practices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E742DA" w:rsidRDefault="00E742DA">
      <w:pPr>
        <w:spacing w:after="200" w:line="276" w:lineRule="auto"/>
        <w:rPr>
          <w:rFonts w:cs="Arial"/>
          <w:b/>
          <w:sz w:val="22"/>
          <w:szCs w:val="22"/>
          <w:lang w:val="en-GB"/>
        </w:rPr>
      </w:pPr>
      <w:r>
        <w:rPr>
          <w:rFonts w:cs="Arial"/>
          <w:b/>
          <w:sz w:val="22"/>
          <w:szCs w:val="22"/>
          <w:lang w:val="en-GB"/>
        </w:rPr>
        <w:br w:type="page"/>
      </w: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lastRenderedPageBreak/>
        <w:t xml:space="preserve">Correspondence management </w:t>
      </w:r>
    </w:p>
    <w:p w:rsidR="00BF727D" w:rsidRPr="00366D84" w:rsidRDefault="00BF727D"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We will arrange a workshop for both the admin staff and GPs after Easter; for Practices to provide an update on their progress and enable the sharing of best practice </w:t>
      </w:r>
      <w:proofErr w:type="spellStart"/>
      <w:r>
        <w:rPr>
          <w:rFonts w:cs="Arial"/>
          <w:sz w:val="22"/>
          <w:szCs w:val="22"/>
        </w:rPr>
        <w:t>etc</w:t>
      </w:r>
      <w:proofErr w:type="spellEnd"/>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3C2086" w:rsidRDefault="003C2086" w:rsidP="00CD10D0">
      <w:pPr>
        <w:pStyle w:val="ListParagraph"/>
        <w:numPr>
          <w:ilvl w:val="0"/>
          <w:numId w:val="5"/>
        </w:numPr>
        <w:spacing w:line="276" w:lineRule="auto"/>
        <w:rPr>
          <w:rFonts w:cs="Arial"/>
          <w:sz w:val="22"/>
          <w:szCs w:val="22"/>
        </w:rPr>
      </w:pPr>
      <w:r>
        <w:rPr>
          <w:rFonts w:cs="Arial"/>
          <w:sz w:val="22"/>
          <w:szCs w:val="22"/>
        </w:rPr>
        <w:t xml:space="preserve">RB </w:t>
      </w:r>
      <w:r w:rsidR="00E742DA">
        <w:rPr>
          <w:rFonts w:cs="Arial"/>
          <w:sz w:val="22"/>
          <w:szCs w:val="22"/>
        </w:rPr>
        <w:t xml:space="preserve">will develop reports for </w:t>
      </w:r>
      <w:r>
        <w:rPr>
          <w:rFonts w:cs="Arial"/>
          <w:sz w:val="22"/>
          <w:szCs w:val="22"/>
        </w:rPr>
        <w:t>each Locality – identifying key trends and areas for further investigation / training / service developmen</w:t>
      </w:r>
      <w:r w:rsidR="009F7DB6">
        <w:rPr>
          <w:rFonts w:cs="Arial"/>
          <w:sz w:val="22"/>
          <w:szCs w:val="22"/>
        </w:rPr>
        <w:t>t.</w:t>
      </w:r>
    </w:p>
    <w:p w:rsidR="00E742DA" w:rsidRDefault="00E742DA" w:rsidP="00CD10D0">
      <w:pPr>
        <w:pStyle w:val="ListParagraph"/>
        <w:numPr>
          <w:ilvl w:val="0"/>
          <w:numId w:val="5"/>
        </w:numPr>
        <w:spacing w:line="276" w:lineRule="auto"/>
        <w:rPr>
          <w:rFonts w:cs="Arial"/>
          <w:sz w:val="22"/>
          <w:szCs w:val="22"/>
        </w:rPr>
      </w:pPr>
      <w:r>
        <w:rPr>
          <w:rFonts w:cs="Arial"/>
          <w:sz w:val="22"/>
          <w:szCs w:val="22"/>
        </w:rPr>
        <w:t xml:space="preserve">RB is working with the CCG / East </w:t>
      </w:r>
      <w:proofErr w:type="spellStart"/>
      <w:r>
        <w:rPr>
          <w:rFonts w:cs="Arial"/>
          <w:sz w:val="22"/>
          <w:szCs w:val="22"/>
        </w:rPr>
        <w:t>Mids</w:t>
      </w:r>
      <w:proofErr w:type="spellEnd"/>
      <w:r>
        <w:rPr>
          <w:rFonts w:cs="Arial"/>
          <w:sz w:val="22"/>
          <w:szCs w:val="22"/>
        </w:rPr>
        <w:t xml:space="preserve"> / </w:t>
      </w:r>
      <w:proofErr w:type="spellStart"/>
      <w:r>
        <w:rPr>
          <w:rFonts w:cs="Arial"/>
          <w:sz w:val="22"/>
          <w:szCs w:val="22"/>
        </w:rPr>
        <w:t>Lancs</w:t>
      </w:r>
      <w:proofErr w:type="spellEnd"/>
      <w:r>
        <w:rPr>
          <w:rFonts w:cs="Arial"/>
          <w:sz w:val="22"/>
          <w:szCs w:val="22"/>
        </w:rPr>
        <w:t xml:space="preserve"> CSU review of demand management information.</w:t>
      </w:r>
    </w:p>
    <w:p w:rsidR="00E742DA" w:rsidRDefault="00E742DA" w:rsidP="00E742DA">
      <w:pPr>
        <w:pStyle w:val="ListParagraph"/>
        <w:numPr>
          <w:ilvl w:val="0"/>
          <w:numId w:val="5"/>
        </w:numPr>
        <w:spacing w:line="276" w:lineRule="auto"/>
        <w:rPr>
          <w:rFonts w:cs="Arial"/>
          <w:sz w:val="22"/>
          <w:szCs w:val="22"/>
        </w:rPr>
      </w:pPr>
      <w:r>
        <w:rPr>
          <w:rFonts w:cs="Arial"/>
          <w:sz w:val="22"/>
          <w:szCs w:val="22"/>
        </w:rPr>
        <w:t>F</w:t>
      </w:r>
      <w:r w:rsidR="005A7FD6">
        <w:rPr>
          <w:rFonts w:cs="Arial"/>
          <w:sz w:val="22"/>
          <w:szCs w:val="22"/>
        </w:rPr>
        <w:t xml:space="preserve">unding </w:t>
      </w:r>
      <w:r>
        <w:rPr>
          <w:rFonts w:cs="Arial"/>
          <w:sz w:val="22"/>
          <w:szCs w:val="22"/>
        </w:rPr>
        <w:t>needs to be identified from PCNs.</w:t>
      </w:r>
    </w:p>
    <w:p w:rsidR="00E742DA" w:rsidRDefault="00E742DA" w:rsidP="00E742DA">
      <w:pPr>
        <w:pStyle w:val="ListParagraph"/>
        <w:spacing w:line="276" w:lineRule="auto"/>
        <w:rPr>
          <w:rFonts w:cs="Arial"/>
          <w:sz w:val="22"/>
          <w:szCs w:val="22"/>
        </w:rPr>
      </w:pPr>
    </w:p>
    <w:p w:rsidR="00AA30B9" w:rsidRDefault="00AA30B9"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Pr>
          <w:b/>
          <w:color w:val="333333"/>
          <w:sz w:val="22"/>
          <w:szCs w:val="22"/>
        </w:rPr>
        <w:t>Referral support service</w:t>
      </w:r>
      <w:r w:rsidR="005A7FD6">
        <w:rPr>
          <w:b/>
          <w:color w:val="333333"/>
          <w:sz w:val="22"/>
          <w:szCs w:val="22"/>
        </w:rPr>
        <w:t xml:space="preserve"> (RSS)</w:t>
      </w:r>
    </w:p>
    <w:p w:rsidR="00547C29" w:rsidRPr="000C3CBA" w:rsidRDefault="00547C29" w:rsidP="00163B74">
      <w:pPr>
        <w:pStyle w:val="ListParagraph"/>
        <w:numPr>
          <w:ilvl w:val="0"/>
          <w:numId w:val="15"/>
        </w:numPr>
        <w:ind w:left="108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Expressions of interest have been sought for MSK Triage</w:t>
      </w:r>
      <w:r w:rsidR="00E742DA">
        <w:rPr>
          <w:rFonts w:hAnsi="Verdana"/>
          <w:color w:val="000000" w:themeColor="text1"/>
          <w:kern w:val="24"/>
          <w:sz w:val="22"/>
          <w:szCs w:val="22"/>
          <w:lang w:val="en-GB" w:eastAsia="en-GB"/>
        </w:rPr>
        <w:t xml:space="preserve"> &amp; ENT.</w:t>
      </w:r>
    </w:p>
    <w:p w:rsidR="000C3CBA" w:rsidRPr="00547C29" w:rsidRDefault="00E742DA" w:rsidP="00163B74">
      <w:pPr>
        <w:pStyle w:val="ListParagraph"/>
        <w:numPr>
          <w:ilvl w:val="0"/>
          <w:numId w:val="15"/>
        </w:numPr>
        <w:ind w:left="108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 xml:space="preserve">Meeting arranged with </w:t>
      </w:r>
      <w:proofErr w:type="spellStart"/>
      <w:r w:rsidR="000C3CBA">
        <w:rPr>
          <w:rFonts w:hAnsi="Verdana"/>
          <w:color w:val="000000" w:themeColor="text1"/>
          <w:kern w:val="24"/>
          <w:sz w:val="22"/>
          <w:szCs w:val="22"/>
          <w:lang w:val="en-GB" w:eastAsia="en-GB"/>
        </w:rPr>
        <w:t>Danah</w:t>
      </w:r>
      <w:proofErr w:type="spellEnd"/>
      <w:r w:rsidR="000C3CBA">
        <w:rPr>
          <w:rFonts w:hAnsi="Verdana"/>
          <w:color w:val="000000" w:themeColor="text1"/>
          <w:kern w:val="24"/>
          <w:sz w:val="22"/>
          <w:szCs w:val="22"/>
          <w:lang w:val="en-GB" w:eastAsia="en-GB"/>
        </w:rPr>
        <w:t xml:space="preserve"> Cadman to progress.</w:t>
      </w:r>
    </w:p>
    <w:p w:rsidR="00547C29" w:rsidRDefault="00547C29" w:rsidP="005A7FD6">
      <w:pPr>
        <w:pStyle w:val="ListParagraph"/>
        <w:ind w:left="1080"/>
        <w:jc w:val="both"/>
        <w:rPr>
          <w:rFonts w:ascii="Times New Roman" w:eastAsia="Times New Roman" w:hAnsi="Times New Roman"/>
          <w:sz w:val="22"/>
          <w:szCs w:val="22"/>
          <w:lang w:val="en-GB" w:eastAsia="en-GB"/>
        </w:rPr>
      </w:pPr>
    </w:p>
    <w:p w:rsidR="00547C29" w:rsidRPr="00F43304" w:rsidRDefault="00547C29" w:rsidP="005A7FD6">
      <w:pPr>
        <w:pStyle w:val="ListParagraph"/>
        <w:ind w:left="1080"/>
        <w:jc w:val="both"/>
        <w:rPr>
          <w:rFonts w:ascii="Times New Roman" w:eastAsia="Times New Roman" w:hAnsi="Times New Roman"/>
          <w:sz w:val="22"/>
          <w:szCs w:val="22"/>
          <w:lang w:val="en-GB" w:eastAsia="en-GB"/>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422506" w:rsidRPr="000C3CBA" w:rsidRDefault="00422506"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West Leicestershire </w:t>
      </w:r>
      <w:proofErr w:type="gramStart"/>
      <w:r>
        <w:rPr>
          <w:color w:val="333333"/>
          <w:sz w:val="22"/>
          <w:szCs w:val="22"/>
        </w:rPr>
        <w:t>CCG ,</w:t>
      </w:r>
      <w:proofErr w:type="gramEnd"/>
      <w:r>
        <w:rPr>
          <w:color w:val="333333"/>
          <w:sz w:val="22"/>
          <w:szCs w:val="22"/>
        </w:rPr>
        <w:t xml:space="preserve"> who commission the service on behalf of NHS E, are pleased with the progress that has been made.</w:t>
      </w:r>
    </w:p>
    <w:p w:rsidR="00E742DA" w:rsidRPr="00E742DA" w:rsidRDefault="00E742DA" w:rsidP="00521E29">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Additional funding has been identified to extend the project into FY19/20.</w:t>
      </w:r>
    </w:p>
    <w:p w:rsidR="00E742DA" w:rsidRPr="00E742DA" w:rsidRDefault="00E742DA" w:rsidP="00521E29">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A planning session will take place in May 2019 to determine how this project will be extended.</w:t>
      </w:r>
    </w:p>
    <w:p w:rsidR="00521E29" w:rsidRPr="00521E29" w:rsidRDefault="00E742DA" w:rsidP="00521E29">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We need to agree an extension with </w:t>
      </w:r>
      <w:r w:rsidR="00521E29">
        <w:rPr>
          <w:color w:val="333333"/>
          <w:sz w:val="22"/>
          <w:szCs w:val="22"/>
        </w:rPr>
        <w:t>LHMP</w:t>
      </w:r>
      <w:r>
        <w:rPr>
          <w:color w:val="333333"/>
          <w:sz w:val="22"/>
          <w:szCs w:val="22"/>
        </w:rPr>
        <w:t>.</w:t>
      </w:r>
    </w:p>
    <w:p w:rsidR="00946044" w:rsidRPr="00FC57E7" w:rsidRDefault="00AC657D"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JW </w:t>
      </w:r>
      <w:r w:rsidR="00E742DA">
        <w:rPr>
          <w:color w:val="333333"/>
          <w:sz w:val="22"/>
          <w:szCs w:val="22"/>
        </w:rPr>
        <w:t>needs to</w:t>
      </w:r>
      <w:r w:rsidR="00D31602">
        <w:rPr>
          <w:color w:val="333333"/>
          <w:sz w:val="22"/>
          <w:szCs w:val="22"/>
        </w:rPr>
        <w:t xml:space="preserve"> write up </w:t>
      </w:r>
      <w:r>
        <w:rPr>
          <w:color w:val="333333"/>
          <w:sz w:val="22"/>
          <w:szCs w:val="22"/>
        </w:rPr>
        <w:t xml:space="preserve">a </w:t>
      </w:r>
      <w:r w:rsidR="00946044" w:rsidRPr="00FC57E7">
        <w:rPr>
          <w:color w:val="333333"/>
          <w:sz w:val="22"/>
          <w:szCs w:val="22"/>
        </w:rPr>
        <w:t>clinical governanc</w:t>
      </w:r>
      <w:r w:rsidR="00D31602">
        <w:rPr>
          <w:color w:val="333333"/>
          <w:sz w:val="22"/>
          <w:szCs w:val="22"/>
        </w:rPr>
        <w:t xml:space="preserve">e process to assure this scheme </w:t>
      </w:r>
      <w:r w:rsidR="00422506">
        <w:rPr>
          <w:color w:val="333333"/>
          <w:sz w:val="22"/>
          <w:szCs w:val="22"/>
        </w:rPr>
        <w:t>for Board consideration.</w:t>
      </w:r>
    </w:p>
    <w:p w:rsidR="00632B94" w:rsidRPr="00E20DEB" w:rsidRDefault="00632B94"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574729" w:rsidRDefault="00E742D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 xml:space="preserve">JW / RB have advised Dynamic Healthcare Systems that the Federation will not renew the contract for a second year when it comes up for renewal at the end of April 2019. </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rsidR="00150AC3" w:rsidRDefault="00150AC3"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Implementation is progressing well overall.</w:t>
      </w:r>
    </w:p>
    <w:p w:rsidR="00150AC3" w:rsidRDefault="003605F2"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The</w:t>
      </w:r>
      <w:r w:rsidR="00636A99">
        <w:rPr>
          <w:rFonts w:cs="Arial"/>
          <w:sz w:val="22"/>
          <w:szCs w:val="22"/>
        </w:rPr>
        <w:t xml:space="preserve"> </w:t>
      </w:r>
      <w:r w:rsidR="00150AC3">
        <w:rPr>
          <w:rFonts w:cs="Arial"/>
          <w:sz w:val="22"/>
          <w:szCs w:val="22"/>
        </w:rPr>
        <w:t>majority of Practices have started to implement the tool within their Practices.</w:t>
      </w:r>
    </w:p>
    <w:p w:rsidR="00CA2900" w:rsidRDefault="00D56874"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Each Locality has a portal which will help with PCN development.</w:t>
      </w:r>
    </w:p>
    <w:p w:rsidR="003605F2" w:rsidRPr="00D56874" w:rsidRDefault="00D56874"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sidRPr="00D56874">
        <w:rPr>
          <w:rFonts w:cs="Arial"/>
          <w:sz w:val="22"/>
          <w:szCs w:val="22"/>
        </w:rPr>
        <w:t>‘Ho</w:t>
      </w:r>
      <w:r w:rsidR="003605F2" w:rsidRPr="00D56874">
        <w:rPr>
          <w:rFonts w:cs="Arial"/>
          <w:sz w:val="22"/>
          <w:szCs w:val="22"/>
        </w:rPr>
        <w:t xml:space="preserve">t topic’ webinars </w:t>
      </w:r>
      <w:r w:rsidRPr="00D56874">
        <w:rPr>
          <w:rFonts w:cs="Arial"/>
          <w:sz w:val="22"/>
          <w:szCs w:val="22"/>
        </w:rPr>
        <w:t xml:space="preserve">and </w:t>
      </w:r>
      <w:r w:rsidR="003605F2" w:rsidRPr="00D56874">
        <w:rPr>
          <w:rFonts w:cs="Arial"/>
          <w:sz w:val="22"/>
          <w:szCs w:val="22"/>
        </w:rPr>
        <w:t xml:space="preserve">support workshops have been </w:t>
      </w:r>
      <w:r>
        <w:rPr>
          <w:rFonts w:cs="Arial"/>
          <w:sz w:val="22"/>
          <w:szCs w:val="22"/>
        </w:rPr>
        <w:t>held to help Practices implement the system.</w:t>
      </w:r>
    </w:p>
    <w:p w:rsidR="00207879" w:rsidRDefault="00207879"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The two-factor login arrangements are being developed which will enable the CCG to use the tool</w:t>
      </w:r>
      <w:r w:rsidR="00D56874">
        <w:rPr>
          <w:rFonts w:cs="Arial"/>
          <w:sz w:val="22"/>
          <w:szCs w:val="22"/>
        </w:rPr>
        <w:t>.</w:t>
      </w:r>
    </w:p>
    <w:p w:rsidR="00207879" w:rsidRDefault="00207879"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 xml:space="preserve">A webinar has been </w:t>
      </w:r>
      <w:r w:rsidR="00D56874">
        <w:rPr>
          <w:rFonts w:cs="Arial"/>
          <w:sz w:val="22"/>
          <w:szCs w:val="22"/>
        </w:rPr>
        <w:t xml:space="preserve">held with </w:t>
      </w:r>
      <w:r>
        <w:rPr>
          <w:rFonts w:cs="Arial"/>
          <w:sz w:val="22"/>
          <w:szCs w:val="22"/>
        </w:rPr>
        <w:t xml:space="preserve">LCC </w:t>
      </w:r>
      <w:r w:rsidR="00D56874">
        <w:rPr>
          <w:rFonts w:cs="Arial"/>
          <w:sz w:val="22"/>
          <w:szCs w:val="22"/>
        </w:rPr>
        <w:t>Public Health</w:t>
      </w:r>
      <w:r>
        <w:rPr>
          <w:rFonts w:cs="Arial"/>
          <w:sz w:val="22"/>
          <w:szCs w:val="22"/>
        </w:rPr>
        <w:t>.</w:t>
      </w:r>
    </w:p>
    <w:p w:rsidR="00D56874" w:rsidRDefault="00D56874" w:rsidP="00163B74">
      <w:pPr>
        <w:pStyle w:val="ListParagraph"/>
        <w:widowControl w:val="0"/>
        <w:numPr>
          <w:ilvl w:val="0"/>
          <w:numId w:val="12"/>
        </w:numPr>
        <w:tabs>
          <w:tab w:val="left" w:pos="220"/>
          <w:tab w:val="left" w:pos="720"/>
        </w:tabs>
        <w:autoSpaceDE w:val="0"/>
        <w:autoSpaceDN w:val="0"/>
        <w:adjustRightInd w:val="0"/>
        <w:rPr>
          <w:rFonts w:cs="Arial"/>
          <w:sz w:val="22"/>
          <w:szCs w:val="22"/>
        </w:rPr>
      </w:pPr>
      <w:r>
        <w:rPr>
          <w:rFonts w:cs="Arial"/>
          <w:sz w:val="22"/>
          <w:szCs w:val="22"/>
        </w:rPr>
        <w:t>DHU have bought licenses.  JW to follow up how this could be used.</w:t>
      </w:r>
    </w:p>
    <w:p w:rsidR="00207879" w:rsidRDefault="00D56874" w:rsidP="00207879">
      <w:pPr>
        <w:pStyle w:val="ListParagraph"/>
        <w:widowControl w:val="0"/>
        <w:numPr>
          <w:ilvl w:val="0"/>
          <w:numId w:val="12"/>
        </w:numPr>
        <w:tabs>
          <w:tab w:val="left" w:pos="220"/>
          <w:tab w:val="left" w:pos="720"/>
        </w:tabs>
        <w:autoSpaceDE w:val="0"/>
        <w:autoSpaceDN w:val="0"/>
        <w:adjustRightInd w:val="0"/>
        <w:rPr>
          <w:rFonts w:cs="Arial"/>
          <w:sz w:val="22"/>
          <w:szCs w:val="22"/>
        </w:rPr>
      </w:pPr>
      <w:r w:rsidRPr="00D56874">
        <w:rPr>
          <w:rFonts w:cs="Arial"/>
          <w:sz w:val="22"/>
          <w:szCs w:val="22"/>
        </w:rPr>
        <w:t xml:space="preserve">The order has been raised for Year 2 for </w:t>
      </w:r>
      <w:r w:rsidR="003605F2" w:rsidRPr="00D56874">
        <w:rPr>
          <w:rFonts w:cs="Arial"/>
          <w:sz w:val="22"/>
          <w:szCs w:val="22"/>
        </w:rPr>
        <w:t xml:space="preserve">Five </w:t>
      </w:r>
      <w:r w:rsidR="00AA2F8F" w:rsidRPr="00D56874">
        <w:rPr>
          <w:rFonts w:cs="Arial"/>
          <w:sz w:val="22"/>
          <w:szCs w:val="22"/>
        </w:rPr>
        <w:t xml:space="preserve">Localities </w:t>
      </w:r>
      <w:r w:rsidRPr="00D56874">
        <w:rPr>
          <w:rFonts w:cs="Arial"/>
          <w:sz w:val="22"/>
          <w:szCs w:val="22"/>
        </w:rPr>
        <w:t xml:space="preserve">plus SLMG.  </w:t>
      </w:r>
    </w:p>
    <w:p w:rsidR="00D56874" w:rsidRPr="00D56874" w:rsidRDefault="00D56874" w:rsidP="00D56874">
      <w:pPr>
        <w:pStyle w:val="ListParagraph"/>
        <w:widowControl w:val="0"/>
        <w:tabs>
          <w:tab w:val="left" w:pos="220"/>
          <w:tab w:val="left" w:pos="720"/>
        </w:tabs>
        <w:autoSpaceDE w:val="0"/>
        <w:autoSpaceDN w:val="0"/>
        <w:adjustRightInd w:val="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CA2900">
        <w:rPr>
          <w:rFonts w:cs="Arial"/>
          <w:b/>
          <w:sz w:val="22"/>
          <w:szCs w:val="22"/>
        </w:rPr>
        <w:t xml:space="preserve"> </w:t>
      </w:r>
    </w:p>
    <w:p w:rsidR="00120110" w:rsidRPr="00636A99" w:rsidRDefault="00632B94" w:rsidP="00163B74">
      <w:pPr>
        <w:pStyle w:val="ListParagraph"/>
        <w:widowControl w:val="0"/>
        <w:numPr>
          <w:ilvl w:val="0"/>
          <w:numId w:val="13"/>
        </w:numPr>
        <w:tabs>
          <w:tab w:val="left" w:pos="220"/>
          <w:tab w:val="left" w:pos="720"/>
        </w:tabs>
        <w:autoSpaceDE w:val="0"/>
        <w:autoSpaceDN w:val="0"/>
        <w:adjustRightInd w:val="0"/>
        <w:spacing w:before="240"/>
        <w:rPr>
          <w:rFonts w:cs="Arial"/>
          <w:b/>
          <w:sz w:val="22"/>
          <w:szCs w:val="22"/>
        </w:rPr>
      </w:pPr>
      <w:r>
        <w:rPr>
          <w:rFonts w:cs="Arial"/>
          <w:sz w:val="22"/>
          <w:szCs w:val="22"/>
        </w:rPr>
        <w:t xml:space="preserve">All bar three Practices </w:t>
      </w:r>
      <w:r w:rsidR="006778FE" w:rsidRPr="00636A99">
        <w:rPr>
          <w:rFonts w:cs="Arial"/>
          <w:sz w:val="22"/>
          <w:szCs w:val="22"/>
        </w:rPr>
        <w:t xml:space="preserve">have decided to provide an H Pylori service as a sub-contractor to the Federation.  </w:t>
      </w:r>
    </w:p>
    <w:p w:rsidR="00636A99" w:rsidRPr="00636A99" w:rsidRDefault="00632B94" w:rsidP="00163B74">
      <w:pPr>
        <w:pStyle w:val="ListParagraph"/>
        <w:widowControl w:val="0"/>
        <w:numPr>
          <w:ilvl w:val="0"/>
          <w:numId w:val="13"/>
        </w:numPr>
        <w:tabs>
          <w:tab w:val="left" w:pos="220"/>
          <w:tab w:val="left" w:pos="720"/>
        </w:tabs>
        <w:autoSpaceDE w:val="0"/>
        <w:autoSpaceDN w:val="0"/>
        <w:adjustRightInd w:val="0"/>
        <w:spacing w:before="240"/>
        <w:rPr>
          <w:rFonts w:cs="Arial"/>
          <w:b/>
          <w:sz w:val="22"/>
          <w:szCs w:val="22"/>
        </w:rPr>
      </w:pPr>
      <w:r>
        <w:rPr>
          <w:rFonts w:cs="Arial"/>
          <w:sz w:val="22"/>
          <w:szCs w:val="22"/>
        </w:rPr>
        <w:t xml:space="preserve">We </w:t>
      </w:r>
      <w:r w:rsidR="00D56874">
        <w:rPr>
          <w:rFonts w:cs="Arial"/>
          <w:sz w:val="22"/>
          <w:szCs w:val="22"/>
        </w:rPr>
        <w:t xml:space="preserve">have received verbal </w:t>
      </w:r>
      <w:r>
        <w:rPr>
          <w:rFonts w:cs="Arial"/>
          <w:sz w:val="22"/>
          <w:szCs w:val="22"/>
        </w:rPr>
        <w:t>confirmation that the contract will be rolled forward into FY19/20</w:t>
      </w:r>
      <w:r w:rsidR="00D56874">
        <w:rPr>
          <w:rFonts w:cs="Arial"/>
          <w:sz w:val="22"/>
          <w:szCs w:val="22"/>
        </w:rPr>
        <w:t>; we await written confirmation.</w:t>
      </w:r>
    </w:p>
    <w:p w:rsidR="00E66841" w:rsidRDefault="006778FE" w:rsidP="00C80D7B">
      <w:pPr>
        <w:pStyle w:val="ListParagraph"/>
        <w:widowControl w:val="0"/>
        <w:tabs>
          <w:tab w:val="left" w:pos="220"/>
          <w:tab w:val="left" w:pos="720"/>
        </w:tabs>
        <w:autoSpaceDE w:val="0"/>
        <w:autoSpaceDN w:val="0"/>
        <w:adjustRightInd w:val="0"/>
        <w:spacing w:before="240"/>
        <w:ind w:left="360"/>
        <w:rPr>
          <w:rFonts w:cs="Arial"/>
          <w:sz w:val="22"/>
          <w:szCs w:val="22"/>
        </w:rPr>
      </w:pPr>
      <w:r>
        <w:rPr>
          <w:rFonts w:cs="Arial"/>
          <w:sz w:val="22"/>
          <w:szCs w:val="22"/>
        </w:rPr>
        <w:t xml:space="preserve"> </w:t>
      </w:r>
    </w:p>
    <w:p w:rsidR="00632B94" w:rsidRDefault="00632B94"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081866" w:rsidRPr="00E66841" w:rsidRDefault="00081866"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CA2900" w:rsidRDefault="00CA2900" w:rsidP="00147709">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lastRenderedPageBreak/>
        <w:t xml:space="preserve">Locum service  </w:t>
      </w:r>
    </w:p>
    <w:p w:rsidR="006F693E" w:rsidRDefault="006F693E" w:rsidP="00163B74">
      <w:pPr>
        <w:pStyle w:val="ListParagraph"/>
        <w:widowControl w:val="0"/>
        <w:numPr>
          <w:ilvl w:val="0"/>
          <w:numId w:val="20"/>
        </w:numPr>
        <w:tabs>
          <w:tab w:val="left" w:pos="220"/>
          <w:tab w:val="left" w:pos="720"/>
        </w:tabs>
        <w:autoSpaceDE w:val="0"/>
        <w:autoSpaceDN w:val="0"/>
        <w:adjustRightInd w:val="0"/>
        <w:spacing w:before="240"/>
        <w:rPr>
          <w:rFonts w:cs="Arial"/>
          <w:sz w:val="22"/>
          <w:szCs w:val="22"/>
        </w:rPr>
      </w:pPr>
      <w:r>
        <w:rPr>
          <w:rFonts w:cs="Arial"/>
          <w:sz w:val="22"/>
          <w:szCs w:val="22"/>
        </w:rPr>
        <w:t xml:space="preserve">JW has had a demonstration from </w:t>
      </w:r>
      <w:proofErr w:type="spellStart"/>
      <w:r>
        <w:rPr>
          <w:rFonts w:cs="Arial"/>
          <w:sz w:val="22"/>
          <w:szCs w:val="22"/>
        </w:rPr>
        <w:t>Lantum</w:t>
      </w:r>
      <w:proofErr w:type="spellEnd"/>
      <w:r w:rsidR="00D56874">
        <w:rPr>
          <w:rFonts w:cs="Arial"/>
          <w:sz w:val="22"/>
          <w:szCs w:val="22"/>
        </w:rPr>
        <w:t>.</w:t>
      </w:r>
    </w:p>
    <w:p w:rsidR="00D56874" w:rsidRDefault="00D56874" w:rsidP="00163B74">
      <w:pPr>
        <w:pStyle w:val="ListParagraph"/>
        <w:widowControl w:val="0"/>
        <w:numPr>
          <w:ilvl w:val="0"/>
          <w:numId w:val="20"/>
        </w:numPr>
        <w:tabs>
          <w:tab w:val="left" w:pos="220"/>
          <w:tab w:val="left" w:pos="720"/>
        </w:tabs>
        <w:autoSpaceDE w:val="0"/>
        <w:autoSpaceDN w:val="0"/>
        <w:adjustRightInd w:val="0"/>
        <w:spacing w:before="240"/>
        <w:rPr>
          <w:rFonts w:cs="Arial"/>
          <w:sz w:val="22"/>
          <w:szCs w:val="22"/>
        </w:rPr>
      </w:pPr>
      <w:r>
        <w:rPr>
          <w:rFonts w:cs="Arial"/>
          <w:sz w:val="22"/>
          <w:szCs w:val="22"/>
        </w:rPr>
        <w:t xml:space="preserve">GP </w:t>
      </w:r>
      <w:proofErr w:type="spellStart"/>
      <w:r>
        <w:rPr>
          <w:rFonts w:cs="Arial"/>
          <w:sz w:val="22"/>
          <w:szCs w:val="22"/>
        </w:rPr>
        <w:t>TeamNet</w:t>
      </w:r>
      <w:proofErr w:type="spellEnd"/>
      <w:r>
        <w:rPr>
          <w:rFonts w:cs="Arial"/>
          <w:sz w:val="22"/>
          <w:szCs w:val="22"/>
        </w:rPr>
        <w:t xml:space="preserve"> has functionality that could support internal ‘bank’ working; which will be investigated further.</w:t>
      </w:r>
    </w:p>
    <w:p w:rsidR="0049339C" w:rsidRDefault="0049339C" w:rsidP="0049339C">
      <w:pPr>
        <w:ind w:left="720"/>
        <w:rPr>
          <w:rFonts w:eastAsia="Times New Roman" w:cs="Helvetica"/>
          <w:color w:val="333333"/>
          <w:sz w:val="22"/>
          <w:szCs w:val="22"/>
          <w:lang w:val="en-GB" w:eastAsia="en-GB"/>
        </w:rPr>
      </w:pPr>
    </w:p>
    <w:p w:rsidR="00566446" w:rsidRPr="00566446" w:rsidRDefault="00E93148"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E26700" w:rsidRPr="009B4701" w:rsidRDefault="00CA2B92"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Tim Sacks </w:t>
      </w:r>
      <w:r w:rsidR="00D56874">
        <w:rPr>
          <w:rFonts w:cs="Arial"/>
          <w:sz w:val="22"/>
          <w:szCs w:val="22"/>
        </w:rPr>
        <w:t>has advised that the CCG will not be paying for Practice DPOs but requested that JW follows this up with Sharon Rose.</w:t>
      </w:r>
    </w:p>
    <w:p w:rsidR="009B4701" w:rsidRPr="009B3900" w:rsidRDefault="009B4701" w:rsidP="009B4701">
      <w:pPr>
        <w:pStyle w:val="ListParagraph"/>
        <w:widowControl w:val="0"/>
        <w:tabs>
          <w:tab w:val="left" w:pos="220"/>
          <w:tab w:val="left" w:pos="720"/>
        </w:tabs>
        <w:autoSpaceDE w:val="0"/>
        <w:autoSpaceDN w:val="0"/>
        <w:adjustRightInd w:val="0"/>
        <w:spacing w:before="240"/>
        <w:ind w:left="1080"/>
        <w:rPr>
          <w:rFonts w:cs="Arial"/>
          <w:b/>
          <w:sz w:val="22"/>
          <w:szCs w:val="22"/>
        </w:rPr>
      </w:pPr>
    </w:p>
    <w:p w:rsidR="00933D0E" w:rsidRPr="00E26700" w:rsidRDefault="00933D0E" w:rsidP="002F0E52">
      <w:pPr>
        <w:ind w:left="720"/>
        <w:outlineLvl w:val="0"/>
        <w:rPr>
          <w:rFonts w:eastAsia="Times New Roman" w:cs="Arial"/>
          <w:bCs/>
          <w:color w:val="444444"/>
          <w:kern w:val="36"/>
          <w:sz w:val="22"/>
          <w:szCs w:val="22"/>
          <w:lang w:val="en-GB" w:eastAsia="en-GB"/>
        </w:rPr>
      </w:pPr>
    </w:p>
    <w:p w:rsidR="00303AB9" w:rsidRPr="0059288D" w:rsidRDefault="00297499" w:rsidP="0059288D">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 xml:space="preserve">Fracture Liaison Service (FLS) </w:t>
      </w:r>
      <w:r w:rsidR="00303AB9">
        <w:rPr>
          <w:rFonts w:eastAsia="Times New Roman" w:cs="Helvetica"/>
          <w:b/>
          <w:color w:val="333333"/>
          <w:sz w:val="22"/>
          <w:szCs w:val="22"/>
          <w:lang w:val="en-GB" w:eastAsia="en-GB"/>
        </w:rPr>
        <w:t>project</w:t>
      </w:r>
    </w:p>
    <w:p w:rsidR="00A94A53" w:rsidRPr="00A94A53" w:rsidRDefault="00A94A53"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proposal is to trial a locality based ‘fracture liaison service’ to help prevent further fractures in the identified risk group.</w:t>
      </w:r>
    </w:p>
    <w:p w:rsidR="005B51EF" w:rsidRPr="00CA2B92" w:rsidRDefault="005B51EF"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sidRPr="00CA2B92">
        <w:rPr>
          <w:rFonts w:cs="Arial"/>
          <w:sz w:val="22"/>
          <w:szCs w:val="22"/>
        </w:rPr>
        <w:t xml:space="preserve">Public Health </w:t>
      </w:r>
      <w:r w:rsidR="00CA2B92" w:rsidRPr="00CA2B92">
        <w:rPr>
          <w:rFonts w:cs="Arial"/>
          <w:sz w:val="22"/>
          <w:szCs w:val="22"/>
        </w:rPr>
        <w:t xml:space="preserve"> and </w:t>
      </w:r>
      <w:r w:rsidR="00FE4BF1" w:rsidRPr="00CA2B92">
        <w:rPr>
          <w:rFonts w:cs="Arial"/>
          <w:sz w:val="22"/>
          <w:szCs w:val="22"/>
        </w:rPr>
        <w:t>th</w:t>
      </w:r>
      <w:r w:rsidR="00CA2B92">
        <w:rPr>
          <w:rFonts w:cs="Arial"/>
          <w:sz w:val="22"/>
          <w:szCs w:val="22"/>
        </w:rPr>
        <w:t xml:space="preserve">e Alliance Leadership Board have </w:t>
      </w:r>
      <w:r w:rsidR="00FE4BF1" w:rsidRPr="00CA2B92">
        <w:rPr>
          <w:rFonts w:cs="Arial"/>
          <w:sz w:val="22"/>
          <w:szCs w:val="22"/>
        </w:rPr>
        <w:t>support</w:t>
      </w:r>
      <w:r w:rsidR="00CA2B92">
        <w:rPr>
          <w:rFonts w:cs="Arial"/>
          <w:sz w:val="22"/>
          <w:szCs w:val="22"/>
        </w:rPr>
        <w:t>ed</w:t>
      </w:r>
      <w:r w:rsidR="00FE4BF1" w:rsidRPr="00CA2B92">
        <w:rPr>
          <w:rFonts w:cs="Arial"/>
          <w:sz w:val="22"/>
          <w:szCs w:val="22"/>
        </w:rPr>
        <w:t xml:space="preserve"> the proposal</w:t>
      </w:r>
    </w:p>
    <w:p w:rsidR="00744A2F" w:rsidRPr="00CA2B92" w:rsidRDefault="006F5B46"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GC / JW have met with LLR commissioners who have raised a number of questions.  We have agreed to address these questions and update the Business Case to fit with their format to assist further </w:t>
      </w:r>
      <w:proofErr w:type="gramStart"/>
      <w:r>
        <w:rPr>
          <w:rFonts w:cs="Arial"/>
          <w:sz w:val="22"/>
          <w:szCs w:val="22"/>
        </w:rPr>
        <w:t>review .</w:t>
      </w:r>
      <w:proofErr w:type="gramEnd"/>
    </w:p>
    <w:p w:rsidR="00303AB9" w:rsidRDefault="00303AB9" w:rsidP="00303AB9">
      <w:pPr>
        <w:pStyle w:val="ListParagraph"/>
        <w:ind w:left="360"/>
        <w:rPr>
          <w:rFonts w:eastAsia="Times New Roman" w:cs="Helvetica"/>
          <w:b/>
          <w:color w:val="333333"/>
          <w:sz w:val="22"/>
          <w:szCs w:val="22"/>
          <w:lang w:val="en-GB" w:eastAsia="en-GB"/>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E42513" w:rsidRDefault="00EC2976" w:rsidP="00163B74">
      <w:pPr>
        <w:pStyle w:val="ListParagraph"/>
        <w:numPr>
          <w:ilvl w:val="0"/>
          <w:numId w:val="16"/>
        </w:numPr>
        <w:rPr>
          <w:rFonts w:eastAsia="Times New Roman" w:cs="Arial"/>
          <w:bCs/>
          <w:iCs/>
          <w:color w:val="333333"/>
          <w:sz w:val="22"/>
          <w:szCs w:val="22"/>
          <w:lang w:val="en-GB" w:eastAsia="en-GB"/>
        </w:rPr>
      </w:pPr>
      <w:r w:rsidRPr="00EC2976">
        <w:rPr>
          <w:rFonts w:eastAsia="Times New Roman" w:cs="Arial"/>
          <w:bCs/>
          <w:iCs/>
          <w:color w:val="333333"/>
          <w:sz w:val="22"/>
          <w:szCs w:val="22"/>
          <w:lang w:val="en-GB" w:eastAsia="en-GB"/>
        </w:rPr>
        <w:t xml:space="preserve">The </w:t>
      </w:r>
      <w:r w:rsidR="00744A2F">
        <w:rPr>
          <w:rFonts w:eastAsia="Times New Roman" w:cs="Arial"/>
          <w:bCs/>
          <w:iCs/>
          <w:color w:val="333333"/>
          <w:sz w:val="22"/>
          <w:szCs w:val="22"/>
          <w:lang w:val="en-GB" w:eastAsia="en-GB"/>
        </w:rPr>
        <w:t xml:space="preserve">contract with </w:t>
      </w:r>
      <w:proofErr w:type="spellStart"/>
      <w:r w:rsidR="00744A2F">
        <w:rPr>
          <w:rFonts w:eastAsia="Times New Roman" w:cs="Arial"/>
          <w:bCs/>
          <w:iCs/>
          <w:color w:val="333333"/>
          <w:sz w:val="22"/>
          <w:szCs w:val="22"/>
          <w:lang w:val="en-GB" w:eastAsia="en-GB"/>
        </w:rPr>
        <w:t>LumiraDX</w:t>
      </w:r>
      <w:proofErr w:type="spellEnd"/>
      <w:r w:rsidR="00744A2F">
        <w:rPr>
          <w:rFonts w:eastAsia="Times New Roman" w:cs="Arial"/>
          <w:bCs/>
          <w:iCs/>
          <w:color w:val="333333"/>
          <w:sz w:val="22"/>
          <w:szCs w:val="22"/>
          <w:lang w:val="en-GB" w:eastAsia="en-GB"/>
        </w:rPr>
        <w:t xml:space="preserve"> on behalf of all, b</w:t>
      </w:r>
      <w:r w:rsidR="006F5B46">
        <w:rPr>
          <w:rFonts w:eastAsia="Times New Roman" w:cs="Arial"/>
          <w:bCs/>
          <w:iCs/>
          <w:color w:val="333333"/>
          <w:sz w:val="22"/>
          <w:szCs w:val="22"/>
          <w:lang w:val="en-GB" w:eastAsia="en-GB"/>
        </w:rPr>
        <w:t>ar one, of the member Practices has been finalised.</w:t>
      </w:r>
    </w:p>
    <w:p w:rsidR="006F5B46" w:rsidRDefault="006F5B46"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CCG will pay for the final two weeks on March 2019.</w:t>
      </w:r>
    </w:p>
    <w:p w:rsidR="00EC2976" w:rsidRDefault="00EC2976" w:rsidP="00EC2976">
      <w:pPr>
        <w:rPr>
          <w:rFonts w:eastAsia="Times New Roman" w:cs="Arial"/>
          <w:bCs/>
          <w:iCs/>
          <w:color w:val="333333"/>
          <w:sz w:val="22"/>
          <w:szCs w:val="22"/>
          <w:lang w:val="en-GB" w:eastAsia="en-GB"/>
        </w:rPr>
      </w:pPr>
    </w:p>
    <w:p w:rsidR="00EC2976" w:rsidRPr="00EC2976" w:rsidRDefault="00EC2976"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rsidR="00EC2976" w:rsidRDefault="00EC2976"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19 practices have indicated that they wish to procure a second blood collection</w:t>
      </w:r>
    </w:p>
    <w:p w:rsidR="00744A2F" w:rsidRDefault="00744A2F"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three CCGs are considering whether to institute a second blood collection</w:t>
      </w:r>
      <w:r w:rsidR="006F5B46">
        <w:rPr>
          <w:rFonts w:eastAsia="Times New Roman" w:cs="Arial"/>
          <w:bCs/>
          <w:iCs/>
          <w:color w:val="333333"/>
          <w:sz w:val="22"/>
          <w:szCs w:val="22"/>
          <w:lang w:val="en-GB" w:eastAsia="en-GB"/>
        </w:rPr>
        <w:t xml:space="preserve"> – we await an update.</w:t>
      </w:r>
    </w:p>
    <w:p w:rsidR="00EC2976" w:rsidRPr="00E42513" w:rsidRDefault="00EC2976" w:rsidP="00EC2976">
      <w:pPr>
        <w:rPr>
          <w:rFonts w:eastAsia="Times New Roman" w:cs="Arial"/>
          <w:bCs/>
          <w:iCs/>
          <w:color w:val="333333"/>
          <w:sz w:val="22"/>
          <w:szCs w:val="22"/>
          <w:lang w:val="en-GB" w:eastAsia="en-GB"/>
        </w:rPr>
      </w:pPr>
    </w:p>
    <w:p w:rsidR="00F700CA" w:rsidRPr="00566446" w:rsidRDefault="00F700CA" w:rsidP="00F700CA">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rsidR="00F700CA" w:rsidRDefault="001C679F"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t>
      </w:r>
      <w:r w:rsidR="009716AC">
        <w:rPr>
          <w:rFonts w:eastAsia="Times New Roman" w:cs="Arial"/>
          <w:bCs/>
          <w:iCs/>
          <w:color w:val="333333"/>
          <w:sz w:val="22"/>
          <w:szCs w:val="22"/>
          <w:lang w:val="en-GB" w:eastAsia="en-GB"/>
        </w:rPr>
        <w:t>within 1/2 Localities to support practices with Active Signposting</w:t>
      </w:r>
      <w:r w:rsidR="00250411">
        <w:rPr>
          <w:rFonts w:eastAsia="Times New Roman" w:cs="Arial"/>
          <w:bCs/>
          <w:iCs/>
          <w:color w:val="333333"/>
          <w:sz w:val="22"/>
          <w:szCs w:val="22"/>
          <w:lang w:val="en-GB" w:eastAsia="en-GB"/>
        </w:rPr>
        <w:t xml:space="preserve"> </w:t>
      </w:r>
    </w:p>
    <w:p w:rsidR="00163B74" w:rsidRDefault="009716AC"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The first session </w:t>
      </w:r>
      <w:r w:rsidR="00250411">
        <w:rPr>
          <w:rFonts w:eastAsia="Times New Roman" w:cs="Arial"/>
          <w:bCs/>
          <w:iCs/>
          <w:color w:val="333333"/>
          <w:sz w:val="22"/>
          <w:szCs w:val="22"/>
          <w:lang w:val="en-GB" w:eastAsia="en-GB"/>
        </w:rPr>
        <w:t xml:space="preserve">with the OWI </w:t>
      </w:r>
      <w:r w:rsidR="006F5B46">
        <w:rPr>
          <w:rFonts w:eastAsia="Times New Roman" w:cs="Arial"/>
          <w:bCs/>
          <w:iCs/>
          <w:color w:val="333333"/>
          <w:sz w:val="22"/>
          <w:szCs w:val="22"/>
          <w:lang w:val="en-GB" w:eastAsia="en-GB"/>
        </w:rPr>
        <w:t xml:space="preserve">and Rutland Practices will took </w:t>
      </w:r>
      <w:r w:rsidR="00250411">
        <w:rPr>
          <w:rFonts w:eastAsia="Times New Roman" w:cs="Arial"/>
          <w:bCs/>
          <w:iCs/>
          <w:color w:val="333333"/>
          <w:sz w:val="22"/>
          <w:szCs w:val="22"/>
          <w:lang w:val="en-GB" w:eastAsia="en-GB"/>
        </w:rPr>
        <w:t>place on 20</w:t>
      </w:r>
      <w:r w:rsidR="00250411" w:rsidRPr="00250411">
        <w:rPr>
          <w:rFonts w:eastAsia="Times New Roman" w:cs="Arial"/>
          <w:bCs/>
          <w:iCs/>
          <w:color w:val="333333"/>
          <w:sz w:val="22"/>
          <w:szCs w:val="22"/>
          <w:vertAlign w:val="superscript"/>
          <w:lang w:val="en-GB" w:eastAsia="en-GB"/>
        </w:rPr>
        <w:t>th</w:t>
      </w:r>
      <w:r w:rsidR="00250411">
        <w:rPr>
          <w:rFonts w:eastAsia="Times New Roman" w:cs="Arial"/>
          <w:bCs/>
          <w:iCs/>
          <w:color w:val="333333"/>
          <w:sz w:val="22"/>
          <w:szCs w:val="22"/>
          <w:lang w:val="en-GB" w:eastAsia="en-GB"/>
        </w:rPr>
        <w:t xml:space="preserve"> March 2019</w:t>
      </w:r>
      <w:r w:rsidR="006F5B46">
        <w:rPr>
          <w:rFonts w:eastAsia="Times New Roman" w:cs="Arial"/>
          <w:bCs/>
          <w:iCs/>
          <w:color w:val="333333"/>
          <w:sz w:val="22"/>
          <w:szCs w:val="22"/>
          <w:lang w:val="en-GB" w:eastAsia="en-GB"/>
        </w:rPr>
        <w:t xml:space="preserve"> and was successful.</w:t>
      </w:r>
    </w:p>
    <w:p w:rsidR="006F5B46" w:rsidRDefault="006F5B46" w:rsidP="00163B74">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A further two sessions will be planned over the next six months. </w:t>
      </w:r>
    </w:p>
    <w:p w:rsidR="006F5B46" w:rsidRDefault="006F5B46" w:rsidP="006F5B46">
      <w:pPr>
        <w:rPr>
          <w:rFonts w:eastAsia="Times New Roman" w:cs="Arial"/>
          <w:bCs/>
          <w:iCs/>
          <w:color w:val="333333"/>
          <w:sz w:val="22"/>
          <w:szCs w:val="22"/>
          <w:lang w:val="en-GB" w:eastAsia="en-GB"/>
        </w:rPr>
      </w:pPr>
    </w:p>
    <w:p w:rsidR="006F5B46" w:rsidRDefault="006F5B46" w:rsidP="006F5B46">
      <w:pPr>
        <w:rPr>
          <w:rFonts w:eastAsia="Times New Roman" w:cs="Arial"/>
          <w:bCs/>
          <w:iCs/>
          <w:color w:val="333333"/>
          <w:sz w:val="22"/>
          <w:szCs w:val="22"/>
          <w:lang w:val="en-GB" w:eastAsia="en-GB"/>
        </w:rPr>
      </w:pPr>
    </w:p>
    <w:p w:rsidR="00EA3F49" w:rsidRPr="007819B3" w:rsidRDefault="00EA3F49" w:rsidP="00EA3F49">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Diagnostic hubs</w:t>
      </w:r>
      <w:r w:rsidR="007819B3">
        <w:rPr>
          <w:rFonts w:eastAsia="Times New Roman" w:cs="Helvetica"/>
          <w:b/>
          <w:color w:val="333333"/>
          <w:sz w:val="22"/>
          <w:szCs w:val="22"/>
          <w:lang w:val="en-GB" w:eastAsia="en-GB"/>
        </w:rPr>
        <w:t xml:space="preserve"> </w:t>
      </w:r>
      <w:r w:rsidR="007819B3" w:rsidRPr="007819B3">
        <w:rPr>
          <w:rFonts w:eastAsia="Times New Roman" w:cs="Helvetica"/>
          <w:color w:val="333333"/>
          <w:sz w:val="22"/>
          <w:szCs w:val="22"/>
          <w:lang w:val="en-GB" w:eastAsia="en-GB"/>
        </w:rPr>
        <w:t xml:space="preserve">(ref Louise’s </w:t>
      </w:r>
      <w:r w:rsidR="007819B3" w:rsidRPr="007819B3">
        <w:rPr>
          <w:rFonts w:eastAsia="Times New Roman" w:cs="Helvetica"/>
          <w:b/>
          <w:color w:val="333333"/>
          <w:sz w:val="22"/>
          <w:szCs w:val="22"/>
          <w:lang w:val="en-GB" w:eastAsia="en-GB"/>
        </w:rPr>
        <w:t>paper C</w:t>
      </w:r>
      <w:r w:rsidR="007819B3" w:rsidRPr="007819B3">
        <w:rPr>
          <w:rFonts w:eastAsia="Times New Roman" w:cs="Helvetica"/>
          <w:color w:val="333333"/>
          <w:sz w:val="22"/>
          <w:szCs w:val="22"/>
          <w:lang w:val="en-GB" w:eastAsia="en-GB"/>
        </w:rPr>
        <w:t>)</w:t>
      </w:r>
    </w:p>
    <w:p w:rsidR="00EA3F49" w:rsidRDefault="00EA3F49" w:rsidP="00EA3F49">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JW met with Helen Mather and Simon </w:t>
      </w:r>
      <w:proofErr w:type="spellStart"/>
      <w:r>
        <w:rPr>
          <w:rFonts w:eastAsia="Times New Roman" w:cs="Arial"/>
          <w:bCs/>
          <w:iCs/>
          <w:color w:val="333333"/>
          <w:sz w:val="22"/>
          <w:szCs w:val="22"/>
          <w:lang w:val="en-GB" w:eastAsia="en-GB"/>
        </w:rPr>
        <w:t>Carr</w:t>
      </w:r>
      <w:proofErr w:type="spellEnd"/>
      <w:r>
        <w:rPr>
          <w:rFonts w:eastAsia="Times New Roman" w:cs="Arial"/>
          <w:bCs/>
          <w:iCs/>
          <w:color w:val="333333"/>
          <w:sz w:val="22"/>
          <w:szCs w:val="22"/>
          <w:lang w:val="en-GB" w:eastAsia="en-GB"/>
        </w:rPr>
        <w:t xml:space="preserve"> who are developing a Business Case to develop diagnostic hubs in primary care.</w:t>
      </w:r>
    </w:p>
    <w:p w:rsidR="00EA3F49" w:rsidRDefault="00EA3F49" w:rsidP="00EA3F49">
      <w:pPr>
        <w:pStyle w:val="ListParagraph"/>
        <w:numPr>
          <w:ilvl w:val="0"/>
          <w:numId w:val="16"/>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JW will work with Simon </w:t>
      </w:r>
      <w:proofErr w:type="spellStart"/>
      <w:r>
        <w:rPr>
          <w:rFonts w:eastAsia="Times New Roman" w:cs="Arial"/>
          <w:bCs/>
          <w:iCs/>
          <w:color w:val="333333"/>
          <w:sz w:val="22"/>
          <w:szCs w:val="22"/>
          <w:lang w:val="en-GB" w:eastAsia="en-GB"/>
        </w:rPr>
        <w:t>Carr</w:t>
      </w:r>
      <w:proofErr w:type="spellEnd"/>
      <w:r>
        <w:rPr>
          <w:rFonts w:eastAsia="Times New Roman" w:cs="Arial"/>
          <w:bCs/>
          <w:iCs/>
          <w:color w:val="333333"/>
          <w:sz w:val="22"/>
          <w:szCs w:val="22"/>
          <w:lang w:val="en-GB" w:eastAsia="en-GB"/>
        </w:rPr>
        <w:t xml:space="preserve"> to develop the ELR element of this proposal for consideration by PCNs / Practices.</w:t>
      </w:r>
    </w:p>
    <w:p w:rsidR="00EA3F49" w:rsidRDefault="00EA3F49" w:rsidP="00163B74">
      <w:pPr>
        <w:rPr>
          <w:rFonts w:eastAsia="Times New Roman" w:cs="Arial"/>
          <w:b/>
          <w:bCs/>
          <w:iCs/>
          <w:color w:val="333333"/>
          <w:sz w:val="22"/>
          <w:szCs w:val="22"/>
          <w:u w:val="single"/>
          <w:lang w:val="en-GB" w:eastAsia="en-GB"/>
        </w:rPr>
      </w:pPr>
    </w:p>
    <w:p w:rsidR="00081866" w:rsidRDefault="00EA3F49">
      <w:pPr>
        <w:spacing w:after="200" w:line="276" w:lineRule="auto"/>
        <w:rPr>
          <w:rFonts w:eastAsia="Times New Roman" w:cs="Arial"/>
          <w:b/>
          <w:bCs/>
          <w:iCs/>
          <w:color w:val="333333"/>
          <w:sz w:val="22"/>
          <w:szCs w:val="22"/>
          <w:u w:val="single"/>
          <w:lang w:val="en-GB" w:eastAsia="en-GB"/>
        </w:rPr>
      </w:pPr>
      <w:r>
        <w:rPr>
          <w:rFonts w:eastAsia="Times New Roman" w:cs="Arial"/>
          <w:b/>
          <w:bCs/>
          <w:iCs/>
          <w:color w:val="333333"/>
          <w:sz w:val="22"/>
          <w:szCs w:val="22"/>
          <w:u w:val="single"/>
          <w:lang w:val="en-GB" w:eastAsia="en-GB"/>
        </w:rPr>
        <w:br w:type="page"/>
      </w:r>
      <w:bookmarkStart w:id="0" w:name="_GoBack"/>
      <w:bookmarkEnd w:id="0"/>
    </w:p>
    <w:p w:rsidR="00250411" w:rsidRPr="00163B74" w:rsidRDefault="00163B74" w:rsidP="00163B74">
      <w:pPr>
        <w:rPr>
          <w:rFonts w:eastAsia="Times New Roman" w:cs="Arial"/>
          <w:b/>
          <w:bCs/>
          <w:iCs/>
          <w:color w:val="333333"/>
          <w:sz w:val="22"/>
          <w:szCs w:val="22"/>
          <w:u w:val="single"/>
          <w:lang w:val="en-GB" w:eastAsia="en-GB"/>
        </w:rPr>
      </w:pPr>
      <w:r w:rsidRPr="00163B74">
        <w:rPr>
          <w:rFonts w:eastAsia="Times New Roman" w:cs="Arial"/>
          <w:b/>
          <w:bCs/>
          <w:iCs/>
          <w:color w:val="333333"/>
          <w:sz w:val="22"/>
          <w:szCs w:val="22"/>
          <w:u w:val="single"/>
          <w:lang w:val="en-GB" w:eastAsia="en-GB"/>
        </w:rPr>
        <w:lastRenderedPageBreak/>
        <w:t>Appendix 1</w:t>
      </w:r>
    </w:p>
    <w:p w:rsidR="00163B74" w:rsidRDefault="00163B74" w:rsidP="00163B74">
      <w:pPr>
        <w:rPr>
          <w:rFonts w:eastAsia="Times New Roman" w:cs="Arial"/>
          <w:bCs/>
          <w:iCs/>
          <w:color w:val="333333"/>
          <w:sz w:val="22"/>
          <w:szCs w:val="22"/>
          <w:lang w:val="en-GB" w:eastAsia="en-GB"/>
        </w:rPr>
      </w:pPr>
    </w:p>
    <w:p w:rsidR="00163B74" w:rsidRPr="00163B74" w:rsidRDefault="00163B74" w:rsidP="00163B74">
      <w:pPr>
        <w:spacing w:after="200" w:line="276" w:lineRule="auto"/>
        <w:jc w:val="center"/>
        <w:rPr>
          <w:rFonts w:eastAsiaTheme="minorHAnsi"/>
          <w:b/>
          <w:u w:val="single"/>
          <w:lang w:val="en-GB"/>
        </w:rPr>
      </w:pPr>
      <w:r w:rsidRPr="00163B74">
        <w:rPr>
          <w:rFonts w:eastAsiaTheme="minorHAnsi"/>
          <w:b/>
          <w:noProof/>
          <w:u w:val="single"/>
          <w:lang w:val="en-GB" w:eastAsia="en-GB"/>
        </w:rPr>
        <w:drawing>
          <wp:anchor distT="0" distB="0" distL="114300" distR="114300" simplePos="0" relativeHeight="251661312" behindDoc="0" locked="0" layoutInCell="1" allowOverlap="1" wp14:anchorId="7A3B3084" wp14:editId="4BC1427F">
            <wp:simplePos x="0" y="0"/>
            <wp:positionH relativeFrom="column">
              <wp:posOffset>5772620</wp:posOffset>
            </wp:positionH>
            <wp:positionV relativeFrom="paragraph">
              <wp:posOffset>-703935</wp:posOffset>
            </wp:positionV>
            <wp:extent cx="691976" cy="6379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962" cy="642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3B74">
        <w:rPr>
          <w:rFonts w:eastAsiaTheme="minorHAnsi"/>
          <w:b/>
          <w:u w:val="single"/>
          <w:lang w:val="en-GB"/>
        </w:rPr>
        <w:t>ELR Primary Care Networks – ELR GP Federation role and support – a proposal / ‘think piece’</w:t>
      </w:r>
    </w:p>
    <w:p w:rsidR="00163B74" w:rsidRPr="00163B74" w:rsidRDefault="00163B74" w:rsidP="00163B74">
      <w:pPr>
        <w:numPr>
          <w:ilvl w:val="0"/>
          <w:numId w:val="31"/>
        </w:numPr>
        <w:spacing w:after="200" w:line="276" w:lineRule="auto"/>
        <w:contextualSpacing/>
        <w:rPr>
          <w:rFonts w:eastAsia="Calibri" w:cs="Times New Roman"/>
          <w:b/>
          <w:sz w:val="22"/>
          <w:szCs w:val="22"/>
          <w:u w:val="single"/>
          <w:lang w:val="en-GB"/>
        </w:rPr>
      </w:pPr>
      <w:r w:rsidRPr="00163B74">
        <w:rPr>
          <w:rFonts w:eastAsia="Calibri" w:cs="Times New Roman"/>
          <w:b/>
          <w:sz w:val="22"/>
          <w:szCs w:val="22"/>
          <w:u w:val="single"/>
          <w:lang w:val="en-GB"/>
        </w:rPr>
        <w:t>The context</w:t>
      </w:r>
    </w:p>
    <w:p w:rsidR="00163B74" w:rsidRPr="00163B74" w:rsidRDefault="00163B74" w:rsidP="00163B74">
      <w:pPr>
        <w:spacing w:line="276" w:lineRule="auto"/>
        <w:ind w:left="360"/>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Times New Roman" w:cs="Times New Roman"/>
          <w:color w:val="000000"/>
          <w:sz w:val="22"/>
          <w:szCs w:val="22"/>
          <w:lang w:val="en-GB" w:eastAsia="en-GB"/>
        </w:rPr>
        <w:t xml:space="preserve">Practices in ELR are in the process of forming Primary Care Networks (PCN), in line with the National Network Contract DES.  </w:t>
      </w:r>
    </w:p>
    <w:p w:rsidR="00163B74" w:rsidRPr="00163B74" w:rsidRDefault="00163B74" w:rsidP="00163B74">
      <w:pPr>
        <w:spacing w:line="276" w:lineRule="auto"/>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Times New Roman" w:cs="Times New Roman"/>
          <w:color w:val="000000"/>
          <w:sz w:val="22"/>
          <w:szCs w:val="22"/>
          <w:lang w:val="en-GB" w:eastAsia="en-GB"/>
        </w:rPr>
        <w:t xml:space="preserve">Whilst PCNs will have the freedom to organise themselves in line with their local context; there will be a range of areas where it will make sense for PCNs to operate </w:t>
      </w:r>
      <w:r w:rsidRPr="00163B74">
        <w:rPr>
          <w:rFonts w:eastAsiaTheme="minorHAnsi"/>
          <w:sz w:val="22"/>
          <w:szCs w:val="22"/>
          <w:lang w:val="en-GB"/>
        </w:rPr>
        <w:t xml:space="preserve">within a sensible, strategic framework; providing </w:t>
      </w:r>
      <w:r w:rsidRPr="00163B74">
        <w:rPr>
          <w:rFonts w:eastAsia="Times New Roman" w:cs="Times New Roman"/>
          <w:color w:val="000000"/>
          <w:sz w:val="22"/>
          <w:szCs w:val="22"/>
          <w:lang w:val="en-GB" w:eastAsia="en-GB"/>
        </w:rPr>
        <w:t xml:space="preserve">consistency between PCNs and avoid ‘inventing the wheel’ several times.  </w:t>
      </w:r>
    </w:p>
    <w:p w:rsidR="00163B74" w:rsidRPr="00163B74" w:rsidRDefault="00163B74" w:rsidP="00163B74">
      <w:pPr>
        <w:spacing w:after="200" w:line="276" w:lineRule="auto"/>
        <w:ind w:left="294"/>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Calibri" w:cs="Times New Roman"/>
          <w:sz w:val="22"/>
          <w:szCs w:val="22"/>
          <w:lang w:val="en-GB"/>
        </w:rPr>
        <w:t xml:space="preserve">It is important that the voice of primary care is clearly articulated at the CCG and wider LLR STP level.  For this to be effective there will need to be a level of consistency with PCNs ‘pulling in the same direction’.  </w:t>
      </w:r>
    </w:p>
    <w:p w:rsidR="00163B74" w:rsidRPr="00163B74" w:rsidRDefault="00163B74" w:rsidP="00163B74">
      <w:pPr>
        <w:spacing w:after="200" w:line="276" w:lineRule="auto"/>
        <w:ind w:left="294"/>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sz w:val="22"/>
          <w:szCs w:val="22"/>
          <w:lang w:val="en-GB"/>
        </w:rPr>
      </w:pPr>
      <w:r w:rsidRPr="00163B74">
        <w:rPr>
          <w:rFonts w:eastAsia="Calibri" w:cs="Times New Roman"/>
          <w:sz w:val="22"/>
          <w:szCs w:val="22"/>
          <w:lang w:val="en-GB"/>
        </w:rPr>
        <w:t>Local NHS organisations will increasingly focus on population health and local partnerships with local authority-funded services through development of Integrated Care Systems (ICS).  PCNs will be a key part in the formation and delivery of these services and, as such, ‘integrated PCNs’ will be stronger and provide a more coherent voice within this system.</w:t>
      </w:r>
    </w:p>
    <w:p w:rsidR="00163B74" w:rsidRPr="00163B74" w:rsidRDefault="00163B74" w:rsidP="00163B74">
      <w:pPr>
        <w:spacing w:after="200" w:line="276" w:lineRule="auto"/>
        <w:ind w:left="294"/>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Calibri" w:cs="Times New Roman"/>
          <w:sz w:val="22"/>
          <w:szCs w:val="22"/>
          <w:lang w:val="en-GB"/>
        </w:rPr>
        <w:t xml:space="preserve">There will continue to be a range of issues where it makes sense to organise and/or hold contracts at the ‘30 practice level’. </w:t>
      </w:r>
    </w:p>
    <w:p w:rsidR="00163B74" w:rsidRPr="00163B74" w:rsidRDefault="00163B74" w:rsidP="00163B74">
      <w:pPr>
        <w:spacing w:after="200" w:line="276" w:lineRule="auto"/>
        <w:ind w:left="294"/>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Calibri" w:cs="Times New Roman"/>
          <w:sz w:val="22"/>
          <w:szCs w:val="22"/>
          <w:lang w:val="en-GB"/>
        </w:rPr>
        <w:t>As such, it will be important that PCNs within ELR have a forum to ‘compare notes’ and organise at a ’30 practice level’ where it makes sense to do so.</w:t>
      </w:r>
    </w:p>
    <w:p w:rsidR="00163B74" w:rsidRPr="00163B74" w:rsidRDefault="00163B74" w:rsidP="00163B74">
      <w:pPr>
        <w:spacing w:after="200" w:line="276" w:lineRule="auto"/>
        <w:ind w:left="294"/>
        <w:contextualSpacing/>
        <w:rPr>
          <w:rFonts w:eastAsia="Calibri" w:cs="Times New Roman"/>
          <w:b/>
          <w:sz w:val="22"/>
          <w:szCs w:val="22"/>
          <w:lang w:val="en-GB"/>
        </w:rPr>
      </w:pPr>
    </w:p>
    <w:p w:rsidR="00163B74" w:rsidRPr="00163B74" w:rsidRDefault="00163B74" w:rsidP="00163B74">
      <w:pPr>
        <w:numPr>
          <w:ilvl w:val="0"/>
          <w:numId w:val="30"/>
        </w:numPr>
        <w:spacing w:after="200" w:line="276" w:lineRule="auto"/>
        <w:ind w:left="360"/>
        <w:contextualSpacing/>
        <w:rPr>
          <w:rFonts w:eastAsia="Calibri" w:cs="Times New Roman"/>
          <w:b/>
          <w:sz w:val="22"/>
          <w:szCs w:val="22"/>
          <w:lang w:val="en-GB"/>
        </w:rPr>
      </w:pPr>
      <w:r w:rsidRPr="00163B74">
        <w:rPr>
          <w:rFonts w:eastAsia="Calibri" w:cs="Times New Roman"/>
          <w:sz w:val="22"/>
          <w:szCs w:val="22"/>
          <w:lang w:val="en-GB"/>
        </w:rPr>
        <w:t xml:space="preserve">Managing a </w:t>
      </w:r>
      <w:r w:rsidRPr="00163B74">
        <w:rPr>
          <w:rFonts w:eastAsiaTheme="minorHAnsi"/>
          <w:sz w:val="22"/>
          <w:szCs w:val="22"/>
          <w:lang w:val="en-GB"/>
        </w:rPr>
        <w:t>network does not necessarily require forming a new legal entity.</w:t>
      </w:r>
    </w:p>
    <w:p w:rsidR="00163B74" w:rsidRPr="00163B74" w:rsidRDefault="00163B74" w:rsidP="00163B74">
      <w:pPr>
        <w:spacing w:after="200" w:line="276" w:lineRule="auto"/>
        <w:ind w:left="720"/>
        <w:contextualSpacing/>
        <w:rPr>
          <w:rFonts w:eastAsia="Calibri" w:cs="Times New Roman"/>
          <w:b/>
          <w:sz w:val="22"/>
          <w:szCs w:val="22"/>
          <w:lang w:val="en-GB"/>
        </w:rPr>
      </w:pPr>
    </w:p>
    <w:p w:rsidR="00163B74" w:rsidRPr="00163B74" w:rsidRDefault="00163B74" w:rsidP="00163B74">
      <w:pPr>
        <w:spacing w:after="200" w:line="276" w:lineRule="auto"/>
        <w:ind w:left="720"/>
        <w:contextualSpacing/>
        <w:rPr>
          <w:rFonts w:eastAsia="Calibri" w:cs="Times New Roman"/>
          <w:b/>
          <w:sz w:val="22"/>
          <w:szCs w:val="22"/>
          <w:lang w:val="en-GB"/>
        </w:rPr>
      </w:pPr>
    </w:p>
    <w:p w:rsidR="00163B74" w:rsidRPr="00163B74" w:rsidRDefault="00163B74" w:rsidP="00163B74">
      <w:pPr>
        <w:numPr>
          <w:ilvl w:val="0"/>
          <w:numId w:val="31"/>
        </w:numPr>
        <w:spacing w:after="200" w:line="276" w:lineRule="auto"/>
        <w:contextualSpacing/>
        <w:rPr>
          <w:rFonts w:eastAsia="Calibri" w:cs="Times New Roman"/>
          <w:b/>
          <w:sz w:val="22"/>
          <w:szCs w:val="22"/>
          <w:u w:val="single"/>
          <w:lang w:val="en-GB"/>
        </w:rPr>
      </w:pPr>
      <w:r w:rsidRPr="00163B74">
        <w:rPr>
          <w:rFonts w:eastAsia="Calibri" w:cs="Times New Roman"/>
          <w:b/>
          <w:sz w:val="22"/>
          <w:szCs w:val="22"/>
          <w:u w:val="single"/>
          <w:lang w:val="en-GB"/>
        </w:rPr>
        <w:t>A proposal</w:t>
      </w:r>
    </w:p>
    <w:p w:rsidR="00163B74" w:rsidRPr="00163B74" w:rsidRDefault="00163B74" w:rsidP="00163B74">
      <w:pPr>
        <w:spacing w:line="276" w:lineRule="auto"/>
        <w:ind w:left="360"/>
        <w:contextualSpacing/>
        <w:rPr>
          <w:rFonts w:eastAsia="Calibri" w:cs="Times New Roman"/>
          <w:b/>
          <w:sz w:val="22"/>
          <w:szCs w:val="22"/>
          <w:lang w:val="en-GB"/>
        </w:rPr>
      </w:pPr>
    </w:p>
    <w:p w:rsidR="00163B74" w:rsidRPr="00163B74" w:rsidRDefault="00163B74" w:rsidP="00163B74">
      <w:pPr>
        <w:numPr>
          <w:ilvl w:val="0"/>
          <w:numId w:val="32"/>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 xml:space="preserve">Utilise ELR GP Federation, an organisation that the 30 Practices have created and remain as  shareholders, to support PCN development  and provide a forum for them to work together </w:t>
      </w:r>
      <w:r w:rsidRPr="00163B74">
        <w:rPr>
          <w:rFonts w:eastAsia="Calibri" w:cs="Times New Roman"/>
          <w:b/>
          <w:sz w:val="22"/>
          <w:szCs w:val="22"/>
          <w:lang w:val="en-GB"/>
        </w:rPr>
        <w:t>(see Figure 1)</w:t>
      </w:r>
      <w:r w:rsidRPr="00163B74">
        <w:rPr>
          <w:rFonts w:eastAsia="Calibri" w:cs="Times New Roman"/>
          <w:sz w:val="22"/>
          <w:szCs w:val="22"/>
          <w:lang w:val="en-GB"/>
        </w:rPr>
        <w:t xml:space="preserve">; building on the Federation’s </w:t>
      </w:r>
      <w:r w:rsidRPr="00163B74">
        <w:rPr>
          <w:rFonts w:eastAsia="Times New Roman" w:cs="Helvetica"/>
          <w:color w:val="333333"/>
          <w:sz w:val="22"/>
          <w:szCs w:val="22"/>
          <w:lang w:val="en-GB" w:eastAsia="en-GB"/>
        </w:rPr>
        <w:t>'transformation' and 'sustainability' strategic priorities.</w:t>
      </w:r>
    </w:p>
    <w:p w:rsidR="00163B74" w:rsidRPr="00163B74" w:rsidRDefault="00163B74" w:rsidP="00163B74">
      <w:pPr>
        <w:spacing w:line="276" w:lineRule="auto"/>
        <w:ind w:left="360"/>
        <w:contextualSpacing/>
        <w:rPr>
          <w:rFonts w:eastAsia="Calibri" w:cs="Times New Roman"/>
          <w:sz w:val="22"/>
          <w:szCs w:val="22"/>
          <w:lang w:val="en-GB"/>
        </w:rPr>
      </w:pPr>
    </w:p>
    <w:p w:rsidR="00163B74" w:rsidRPr="00163B74" w:rsidRDefault="00163B74" w:rsidP="00163B74">
      <w:pPr>
        <w:numPr>
          <w:ilvl w:val="0"/>
          <w:numId w:val="33"/>
        </w:numPr>
        <w:autoSpaceDE w:val="0"/>
        <w:autoSpaceDN w:val="0"/>
        <w:adjustRightInd w:val="0"/>
        <w:spacing w:after="200" w:line="276" w:lineRule="auto"/>
        <w:contextualSpacing/>
        <w:rPr>
          <w:rFonts w:eastAsiaTheme="minorHAnsi" w:cs="FrutigerLTCom-Light"/>
          <w:sz w:val="22"/>
          <w:szCs w:val="22"/>
          <w:lang w:val="en-GB"/>
        </w:rPr>
      </w:pPr>
      <w:r w:rsidRPr="00163B74">
        <w:rPr>
          <w:rFonts w:eastAsiaTheme="minorHAnsi" w:cs="FrutigerLTCom-Light"/>
          <w:b/>
          <w:sz w:val="22"/>
          <w:szCs w:val="22"/>
          <w:lang w:val="en-GB"/>
        </w:rPr>
        <w:t xml:space="preserve">Local service delivery &amp; business development - </w:t>
      </w:r>
      <w:r w:rsidRPr="00163B74">
        <w:rPr>
          <w:rFonts w:eastAsiaTheme="minorHAnsi" w:cs="FrutigerLTCom-Light"/>
          <w:sz w:val="22"/>
          <w:szCs w:val="22"/>
          <w:lang w:val="en-GB"/>
        </w:rPr>
        <w:t>facilitating the delivery of more services locally; bidding collectively and / or holding contracts where it is helpful to do so</w:t>
      </w:r>
    </w:p>
    <w:p w:rsidR="00163B74" w:rsidRPr="00163B74" w:rsidRDefault="00163B74" w:rsidP="00163B74">
      <w:pPr>
        <w:autoSpaceDE w:val="0"/>
        <w:autoSpaceDN w:val="0"/>
        <w:adjustRightInd w:val="0"/>
        <w:spacing w:line="276" w:lineRule="auto"/>
        <w:ind w:left="1080"/>
        <w:contextualSpacing/>
        <w:rPr>
          <w:rFonts w:eastAsiaTheme="minorHAnsi" w:cs="FrutigerLTCom-Light"/>
          <w:sz w:val="22"/>
          <w:szCs w:val="22"/>
          <w:lang w:val="en-GB"/>
        </w:rPr>
      </w:pPr>
    </w:p>
    <w:p w:rsidR="00163B74" w:rsidRPr="00163B74" w:rsidRDefault="00163B74" w:rsidP="00163B74">
      <w:pPr>
        <w:numPr>
          <w:ilvl w:val="0"/>
          <w:numId w:val="33"/>
        </w:numPr>
        <w:autoSpaceDE w:val="0"/>
        <w:autoSpaceDN w:val="0"/>
        <w:adjustRightInd w:val="0"/>
        <w:spacing w:after="200" w:line="276" w:lineRule="auto"/>
        <w:contextualSpacing/>
        <w:rPr>
          <w:rFonts w:eastAsiaTheme="minorHAnsi" w:cs="FrutigerLTCom-Light"/>
          <w:sz w:val="22"/>
          <w:szCs w:val="22"/>
          <w:lang w:val="en-GB"/>
        </w:rPr>
      </w:pPr>
      <w:r w:rsidRPr="00163B74">
        <w:rPr>
          <w:rFonts w:eastAsiaTheme="minorHAnsi" w:cs="FrutigerLTCom-Light"/>
          <w:b/>
          <w:sz w:val="22"/>
          <w:szCs w:val="22"/>
          <w:lang w:val="en-GB"/>
        </w:rPr>
        <w:t xml:space="preserve">Resilience and sustainability – </w:t>
      </w:r>
      <w:r w:rsidRPr="00163B74">
        <w:rPr>
          <w:rFonts w:eastAsiaTheme="minorHAnsi" w:cs="FrutigerLTCom-Light"/>
          <w:sz w:val="22"/>
          <w:szCs w:val="22"/>
          <w:lang w:val="en-GB"/>
        </w:rPr>
        <w:t>innovating and transforming the way that services are delivered to address the pressures currently faced in the local health care system</w:t>
      </w:r>
    </w:p>
    <w:p w:rsidR="00163B74" w:rsidRPr="00163B74" w:rsidRDefault="00163B74" w:rsidP="00163B74">
      <w:pPr>
        <w:spacing w:after="200" w:line="276" w:lineRule="auto"/>
        <w:ind w:left="720"/>
        <w:contextualSpacing/>
        <w:rPr>
          <w:rFonts w:eastAsiaTheme="minorHAnsi" w:cs="FrutigerLTCom-Light"/>
          <w:sz w:val="22"/>
          <w:szCs w:val="22"/>
          <w:lang w:val="en-GB"/>
        </w:rPr>
      </w:pPr>
    </w:p>
    <w:p w:rsidR="00163B74" w:rsidRPr="00163B74" w:rsidRDefault="00163B74" w:rsidP="00163B74">
      <w:pPr>
        <w:numPr>
          <w:ilvl w:val="0"/>
          <w:numId w:val="33"/>
        </w:numPr>
        <w:autoSpaceDE w:val="0"/>
        <w:autoSpaceDN w:val="0"/>
        <w:adjustRightInd w:val="0"/>
        <w:spacing w:after="200" w:line="276" w:lineRule="auto"/>
        <w:contextualSpacing/>
        <w:rPr>
          <w:rFonts w:eastAsiaTheme="minorHAnsi" w:cs="FrutigerLTCom-Light"/>
          <w:b/>
          <w:sz w:val="22"/>
          <w:szCs w:val="22"/>
          <w:lang w:val="en-GB"/>
        </w:rPr>
      </w:pPr>
      <w:r w:rsidRPr="00163B74">
        <w:rPr>
          <w:rFonts w:eastAsiaTheme="minorHAnsi" w:cs="FrutigerLTCom-Light"/>
          <w:b/>
          <w:sz w:val="22"/>
          <w:szCs w:val="22"/>
          <w:lang w:val="en-GB"/>
        </w:rPr>
        <w:t xml:space="preserve">Effective voice - </w:t>
      </w:r>
      <w:r w:rsidRPr="00163B74">
        <w:rPr>
          <w:rFonts w:eastAsiaTheme="minorHAnsi" w:cs="FrutigerLTCom-Light"/>
          <w:sz w:val="22"/>
          <w:szCs w:val="22"/>
          <w:lang w:val="en-GB"/>
        </w:rPr>
        <w:t xml:space="preserve">for our members across ELR </w:t>
      </w:r>
    </w:p>
    <w:p w:rsidR="00163B74" w:rsidRPr="00163B74" w:rsidRDefault="00163B74" w:rsidP="00163B74">
      <w:pPr>
        <w:rPr>
          <w:rFonts w:eastAsia="Calibri" w:cs="Times New Roman"/>
          <w:sz w:val="22"/>
          <w:szCs w:val="22"/>
          <w:lang w:val="en-GB"/>
        </w:rPr>
      </w:pPr>
    </w:p>
    <w:p w:rsidR="00163B74" w:rsidRPr="00163B74" w:rsidRDefault="00163B74" w:rsidP="00163B74">
      <w:pPr>
        <w:spacing w:after="200" w:line="276" w:lineRule="auto"/>
        <w:rPr>
          <w:rFonts w:eastAsia="Calibri" w:cs="Times New Roman"/>
          <w:b/>
          <w:sz w:val="22"/>
          <w:szCs w:val="22"/>
          <w:u w:val="single"/>
          <w:lang w:val="en-GB"/>
        </w:rPr>
      </w:pPr>
      <w:r w:rsidRPr="00163B74">
        <w:rPr>
          <w:rFonts w:eastAsia="Calibri" w:cs="Times New Roman"/>
          <w:b/>
          <w:sz w:val="22"/>
          <w:szCs w:val="22"/>
          <w:u w:val="single"/>
          <w:lang w:val="en-GB"/>
        </w:rPr>
        <w:br w:type="page"/>
      </w:r>
    </w:p>
    <w:p w:rsidR="00163B74" w:rsidRPr="00163B74" w:rsidRDefault="00163B74" w:rsidP="00163B74">
      <w:pPr>
        <w:rPr>
          <w:rFonts w:eastAsia="Calibri" w:cs="Times New Roman"/>
          <w:b/>
          <w:sz w:val="22"/>
          <w:szCs w:val="22"/>
          <w:u w:val="single"/>
          <w:lang w:val="en-GB"/>
        </w:rPr>
      </w:pPr>
      <w:r w:rsidRPr="00163B74">
        <w:rPr>
          <w:rFonts w:eastAsia="Calibri" w:cs="Times New Roman"/>
          <w:b/>
          <w:sz w:val="22"/>
          <w:szCs w:val="22"/>
          <w:u w:val="single"/>
          <w:lang w:val="en-GB"/>
        </w:rPr>
        <w:lastRenderedPageBreak/>
        <w:t>Figure 1 – suggested structure of PCNs and Federation</w:t>
      </w:r>
    </w:p>
    <w:p w:rsidR="00163B74" w:rsidRPr="00163B74" w:rsidRDefault="00163B74" w:rsidP="00163B74">
      <w:pPr>
        <w:ind w:left="1080"/>
        <w:rPr>
          <w:rFonts w:eastAsia="Calibri" w:cs="Times New Roman"/>
          <w:sz w:val="22"/>
          <w:szCs w:val="22"/>
          <w:lang w:val="en-GB"/>
        </w:rPr>
      </w:pPr>
      <w:r w:rsidRPr="00163B74">
        <w:rPr>
          <w:rFonts w:eastAsiaTheme="minorHAnsi"/>
          <w:noProof/>
          <w:sz w:val="22"/>
          <w:szCs w:val="22"/>
          <w:lang w:val="en-GB" w:eastAsia="en-GB"/>
        </w:rPr>
        <w:drawing>
          <wp:inline distT="0" distB="0" distL="0" distR="0" wp14:anchorId="0CE08047" wp14:editId="1BA5E86E">
            <wp:extent cx="4529470" cy="167994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410" t="23567" r="3320" b="26114"/>
                    <a:stretch/>
                  </pic:blipFill>
                  <pic:spPr bwMode="auto">
                    <a:xfrm>
                      <a:off x="0" y="0"/>
                      <a:ext cx="4531260" cy="1680608"/>
                    </a:xfrm>
                    <a:prstGeom prst="rect">
                      <a:avLst/>
                    </a:prstGeom>
                    <a:ln>
                      <a:noFill/>
                    </a:ln>
                    <a:extLst>
                      <a:ext uri="{53640926-AAD7-44D8-BBD7-CCE9431645EC}">
                        <a14:shadowObscured xmlns:a14="http://schemas.microsoft.com/office/drawing/2010/main"/>
                      </a:ext>
                    </a:extLst>
                  </pic:spPr>
                </pic:pic>
              </a:graphicData>
            </a:graphic>
          </wp:inline>
        </w:drawing>
      </w:r>
    </w:p>
    <w:p w:rsidR="00163B74" w:rsidRPr="00163B74" w:rsidRDefault="00163B74" w:rsidP="00163B74">
      <w:pPr>
        <w:numPr>
          <w:ilvl w:val="0"/>
          <w:numId w:val="32"/>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Co-opt the 6 ACDs onto the Federation Board (if they are not already a Director) to shape and focus the Federation business on activity that supports PCNs to operate effectively; providing a forum for debate at the ‘30 practice level’.</w:t>
      </w:r>
    </w:p>
    <w:p w:rsidR="00163B74" w:rsidRPr="00163B74" w:rsidRDefault="00163B74" w:rsidP="00163B74">
      <w:pPr>
        <w:spacing w:after="200" w:line="276" w:lineRule="auto"/>
        <w:ind w:left="720"/>
        <w:contextualSpacing/>
        <w:rPr>
          <w:rFonts w:eastAsia="Calibri" w:cs="Times New Roman"/>
          <w:sz w:val="22"/>
          <w:szCs w:val="22"/>
          <w:lang w:val="en-GB"/>
        </w:rPr>
      </w:pPr>
    </w:p>
    <w:p w:rsidR="00163B74" w:rsidRPr="00163B74" w:rsidRDefault="00163B74" w:rsidP="00163B74">
      <w:pPr>
        <w:numPr>
          <w:ilvl w:val="0"/>
          <w:numId w:val="32"/>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The Federation will tailor its work programme to support the direction provided by the expanded Board, which would include a range of the following options;</w:t>
      </w:r>
    </w:p>
    <w:p w:rsidR="00163B74" w:rsidRPr="00163B74" w:rsidRDefault="00163B74" w:rsidP="00163B74">
      <w:pPr>
        <w:spacing w:line="276" w:lineRule="auto"/>
        <w:ind w:left="720"/>
        <w:contextualSpacing/>
        <w:rPr>
          <w:rFonts w:eastAsia="Calibri" w:cs="Times New Roman"/>
          <w:sz w:val="16"/>
          <w:szCs w:val="16"/>
          <w:lang w:val="en-GB"/>
        </w:rPr>
      </w:pP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Supporting the development of the PCNs; clarifying vision, strategic objectives and action plans (using business plan template – Appendix 1)</w:t>
      </w:r>
    </w:p>
    <w:p w:rsidR="00163B74" w:rsidRPr="00163B74" w:rsidRDefault="00163B74" w:rsidP="00163B74">
      <w:pPr>
        <w:numPr>
          <w:ilvl w:val="0"/>
          <w:numId w:val="34"/>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Draw together various advice and guidance from national and local sources into one place to inform decision making for the development of PCNs</w:t>
      </w:r>
    </w:p>
    <w:p w:rsidR="00163B74" w:rsidRPr="00163B74" w:rsidRDefault="00163B74" w:rsidP="00163B74">
      <w:pPr>
        <w:numPr>
          <w:ilvl w:val="0"/>
          <w:numId w:val="34"/>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Provide objective facilitation and project management from an informed, objective &amp; trusted partner</w:t>
      </w:r>
    </w:p>
    <w:p w:rsidR="00163B74" w:rsidRPr="00163B74" w:rsidRDefault="00163B74" w:rsidP="00163B74">
      <w:pPr>
        <w:numPr>
          <w:ilvl w:val="0"/>
          <w:numId w:val="34"/>
        </w:numPr>
        <w:spacing w:after="200" w:line="276" w:lineRule="auto"/>
        <w:contextualSpacing/>
        <w:rPr>
          <w:rFonts w:eastAsia="Calibri" w:cs="Times New Roman"/>
          <w:sz w:val="22"/>
          <w:szCs w:val="22"/>
          <w:lang w:val="en-GB"/>
        </w:rPr>
      </w:pPr>
      <w:r w:rsidRPr="00163B74">
        <w:rPr>
          <w:rFonts w:eastAsia="Calibri" w:cs="Times New Roman"/>
          <w:sz w:val="22"/>
          <w:szCs w:val="22"/>
          <w:lang w:val="en-GB"/>
        </w:rPr>
        <w:t>Share knowledge, best practice and learning across the Localities; avoiding the need for Localities to ‘invent the wheel’ six times (whilst bearing in mind that ‘one size might not fit all’)</w:t>
      </w: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Support the ACDs and ongoing running of the PCNs, as required</w:t>
      </w:r>
    </w:p>
    <w:p w:rsidR="00163B74" w:rsidRPr="00163B74" w:rsidRDefault="00163B74" w:rsidP="00163B74">
      <w:pPr>
        <w:widowControl w:val="0"/>
        <w:numPr>
          <w:ilvl w:val="0"/>
          <w:numId w:val="34"/>
        </w:numPr>
        <w:tabs>
          <w:tab w:val="left" w:pos="819"/>
          <w:tab w:val="left" w:pos="820"/>
        </w:tabs>
        <w:autoSpaceDE w:val="0"/>
        <w:autoSpaceDN w:val="0"/>
        <w:spacing w:after="200" w:line="276" w:lineRule="auto"/>
        <w:ind w:left="1077" w:hanging="357"/>
        <w:outlineLvl w:val="1"/>
        <w:rPr>
          <w:rFonts w:eastAsia="Arial" w:cs="Arial"/>
          <w:bCs/>
          <w:sz w:val="22"/>
          <w:szCs w:val="22"/>
        </w:rPr>
      </w:pPr>
      <w:r w:rsidRPr="00163B74">
        <w:rPr>
          <w:rFonts w:eastAsia="Arial" w:cs="Arial"/>
          <w:bCs/>
          <w:sz w:val="22"/>
          <w:szCs w:val="22"/>
        </w:rPr>
        <w:t xml:space="preserve">Be a key ‘change agent’; enabling and facilitating joint working, innovation and transformation </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Calibri" w:cs="Times New Roman"/>
          <w:sz w:val="22"/>
          <w:szCs w:val="22"/>
          <w:lang w:val="en-GB"/>
        </w:rPr>
        <w:t>Use the ELR GP Federation company, possibly create trading divisions within the Federation, for activities that require a separate legal entity, rather than creating a number of separate legal entities with associated costs</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Calibri" w:cs="Times New Roman"/>
          <w:sz w:val="22"/>
          <w:szCs w:val="22"/>
          <w:lang w:val="en-GB"/>
        </w:rPr>
        <w:t>Provide a governance structure</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Calibri" w:cs="Times New Roman"/>
          <w:sz w:val="22"/>
          <w:szCs w:val="22"/>
          <w:lang w:val="en-GB"/>
        </w:rPr>
        <w:t xml:space="preserve">Coordinate / manage the recruitment processes for </w:t>
      </w:r>
      <w:r w:rsidRPr="00163B74">
        <w:rPr>
          <w:rFonts w:eastAsia="Calibri" w:cs="Times New Roman"/>
          <w:i/>
          <w:sz w:val="22"/>
          <w:szCs w:val="22"/>
          <w:lang w:val="en-GB"/>
        </w:rPr>
        <w:t xml:space="preserve">Social Prescribers &amp; Pharmacists </w:t>
      </w:r>
      <w:r w:rsidRPr="00163B74">
        <w:rPr>
          <w:rFonts w:eastAsia="Calibri" w:cs="Times New Roman"/>
          <w:sz w:val="22"/>
          <w:szCs w:val="22"/>
          <w:lang w:val="en-GB"/>
        </w:rPr>
        <w:t xml:space="preserve">at the ‘30 practice level’ – rather than running six separate campaigns </w:t>
      </w: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Provide demand management support</w:t>
      </w: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Urgent care – manage the current partnership with DHU &amp; support future developments</w:t>
      </w: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 xml:space="preserve">Back office support </w:t>
      </w:r>
    </w:p>
    <w:p w:rsidR="00163B74" w:rsidRPr="00163B74" w:rsidRDefault="00163B74" w:rsidP="00163B74">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Referral hubs</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Theme="minorHAnsi"/>
          <w:sz w:val="22"/>
          <w:szCs w:val="22"/>
          <w:lang w:val="en-GB"/>
        </w:rPr>
        <w:t xml:space="preserve">ELR wide project support </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Calibri" w:cs="Times New Roman"/>
          <w:sz w:val="22"/>
          <w:szCs w:val="22"/>
          <w:lang w:val="en-GB"/>
        </w:rPr>
        <w:t>Hold budgets, if helpful</w:t>
      </w:r>
    </w:p>
    <w:p w:rsidR="00163B74" w:rsidRPr="00163B74" w:rsidRDefault="00163B74" w:rsidP="00163B74">
      <w:pPr>
        <w:numPr>
          <w:ilvl w:val="0"/>
          <w:numId w:val="34"/>
        </w:numPr>
        <w:spacing w:after="200" w:line="276" w:lineRule="auto"/>
        <w:ind w:left="1077" w:hanging="357"/>
        <w:contextualSpacing/>
        <w:rPr>
          <w:rFonts w:eastAsia="Calibri" w:cs="Times New Roman"/>
          <w:sz w:val="22"/>
          <w:szCs w:val="22"/>
          <w:lang w:val="en-GB"/>
        </w:rPr>
      </w:pPr>
      <w:r w:rsidRPr="00163B74">
        <w:rPr>
          <w:rFonts w:eastAsia="Calibri" w:cs="Times New Roman"/>
          <w:sz w:val="22"/>
          <w:szCs w:val="22"/>
          <w:lang w:val="en-GB"/>
        </w:rPr>
        <w:t>Employment where helpful / possible</w:t>
      </w:r>
    </w:p>
    <w:p w:rsidR="00163B74" w:rsidRPr="00163B74" w:rsidRDefault="00163B74" w:rsidP="00163B74">
      <w:pPr>
        <w:numPr>
          <w:ilvl w:val="0"/>
          <w:numId w:val="34"/>
        </w:numPr>
        <w:spacing w:after="200" w:line="276" w:lineRule="auto"/>
        <w:ind w:hanging="357"/>
        <w:rPr>
          <w:rFonts w:eastAsiaTheme="minorHAnsi"/>
          <w:sz w:val="22"/>
          <w:szCs w:val="22"/>
          <w:lang w:val="en-GB"/>
        </w:rPr>
      </w:pPr>
      <w:r w:rsidRPr="00163B74">
        <w:rPr>
          <w:rFonts w:eastAsiaTheme="minorHAnsi"/>
          <w:sz w:val="22"/>
          <w:szCs w:val="22"/>
          <w:lang w:val="en-GB"/>
        </w:rPr>
        <w:t>Provide a clear primary care voice and influence in the local healthcare economy / STP</w:t>
      </w:r>
    </w:p>
    <w:p w:rsidR="00163B74" w:rsidRPr="00163B74" w:rsidRDefault="00163B74" w:rsidP="00163B74">
      <w:pPr>
        <w:spacing w:line="276" w:lineRule="auto"/>
        <w:rPr>
          <w:rFonts w:eastAsiaTheme="minorHAnsi"/>
          <w:b/>
          <w:sz w:val="18"/>
          <w:szCs w:val="18"/>
          <w:u w:val="single"/>
          <w:lang w:val="en-GB"/>
        </w:rPr>
      </w:pPr>
    </w:p>
    <w:p w:rsidR="00DC6077" w:rsidRPr="00DC6077" w:rsidRDefault="00163B74" w:rsidP="00DC6077">
      <w:pPr>
        <w:numPr>
          <w:ilvl w:val="0"/>
          <w:numId w:val="31"/>
        </w:numPr>
        <w:spacing w:after="200" w:line="276" w:lineRule="auto"/>
        <w:contextualSpacing/>
        <w:rPr>
          <w:rFonts w:eastAsiaTheme="minorHAnsi"/>
          <w:b/>
          <w:sz w:val="22"/>
          <w:szCs w:val="22"/>
          <w:u w:val="single"/>
          <w:lang w:val="en-GB"/>
        </w:rPr>
      </w:pPr>
      <w:r w:rsidRPr="00163B74">
        <w:rPr>
          <w:rFonts w:eastAsia="Calibri" w:cs="Times New Roman"/>
          <w:b/>
          <w:sz w:val="22"/>
          <w:szCs w:val="22"/>
          <w:u w:val="single"/>
          <w:lang w:val="en-GB"/>
        </w:rPr>
        <w:t>Resources</w:t>
      </w:r>
      <w:r w:rsidRPr="00163B74">
        <w:rPr>
          <w:rFonts w:eastAsia="Calibri" w:cs="Times New Roman"/>
          <w:sz w:val="22"/>
          <w:szCs w:val="22"/>
          <w:lang w:val="en-GB"/>
        </w:rPr>
        <w:t xml:space="preserve"> – to support Federation work to be drawn from the PCN’s Network DES budget – </w:t>
      </w:r>
      <w:r w:rsidRPr="00163B74">
        <w:rPr>
          <w:rFonts w:eastAsia="Calibri" w:cs="Times New Roman"/>
          <w:b/>
          <w:sz w:val="22"/>
          <w:szCs w:val="22"/>
          <w:lang w:val="en-GB"/>
        </w:rPr>
        <w:t>TBC.</w:t>
      </w:r>
      <w:r w:rsidR="00DC6077" w:rsidRPr="00DC6077">
        <w:rPr>
          <w:rFonts w:eastAsiaTheme="minorHAnsi"/>
          <w:b/>
          <w:sz w:val="22"/>
          <w:szCs w:val="22"/>
          <w:u w:val="single"/>
          <w:lang w:val="en-GB"/>
        </w:rPr>
        <w:br w:type="page"/>
      </w:r>
    </w:p>
    <w:p w:rsidR="00163B74" w:rsidRPr="00163B74" w:rsidRDefault="00DC6077" w:rsidP="00163B74">
      <w:pPr>
        <w:spacing w:after="200" w:line="276" w:lineRule="auto"/>
        <w:rPr>
          <w:rFonts w:eastAsiaTheme="minorHAnsi"/>
          <w:b/>
          <w:sz w:val="22"/>
          <w:szCs w:val="22"/>
          <w:u w:val="single"/>
          <w:lang w:val="en-GB"/>
        </w:rPr>
      </w:pPr>
      <w:r>
        <w:rPr>
          <w:rFonts w:eastAsiaTheme="minorHAnsi"/>
          <w:b/>
          <w:sz w:val="22"/>
          <w:szCs w:val="22"/>
          <w:u w:val="single"/>
          <w:lang w:val="en-GB"/>
        </w:rPr>
        <w:lastRenderedPageBreak/>
        <w:t>Appendix A</w:t>
      </w:r>
    </w:p>
    <w:p w:rsidR="00163B74" w:rsidRPr="00163B74" w:rsidRDefault="00163B74" w:rsidP="00163B74">
      <w:pPr>
        <w:spacing w:after="200" w:line="360" w:lineRule="auto"/>
        <w:contextualSpacing/>
        <w:jc w:val="center"/>
        <w:rPr>
          <w:rFonts w:eastAsia="Calibri" w:cs="Times New Roman"/>
          <w:b/>
          <w:u w:val="single"/>
          <w:lang w:val="en-GB"/>
        </w:rPr>
      </w:pPr>
      <w:r w:rsidRPr="00163B74">
        <w:rPr>
          <w:rFonts w:eastAsia="Calibri" w:cs="Times New Roman"/>
          <w:b/>
          <w:u w:val="single"/>
          <w:lang w:val="en-GB"/>
        </w:rPr>
        <w:t>Business Plan framework</w:t>
      </w:r>
    </w:p>
    <w:p w:rsidR="00163B74" w:rsidRPr="00163B74" w:rsidRDefault="00163B74" w:rsidP="00163B74">
      <w:pPr>
        <w:spacing w:after="200" w:line="360" w:lineRule="auto"/>
        <w:contextualSpacing/>
        <w:jc w:val="center"/>
        <w:rPr>
          <w:rFonts w:eastAsia="Calibri" w:cs="Times New Roman"/>
          <w:sz w:val="22"/>
          <w:szCs w:val="22"/>
          <w:lang w:val="en-GB"/>
        </w:rPr>
      </w:pPr>
    </w:p>
    <w:p w:rsidR="00163B74" w:rsidRPr="00163B74" w:rsidRDefault="00163B74" w:rsidP="00163B74">
      <w:pPr>
        <w:spacing w:line="480" w:lineRule="auto"/>
        <w:contextualSpacing/>
        <w:rPr>
          <w:rFonts w:eastAsia="Calibri" w:cs="Times New Roman"/>
          <w:lang w:val="en-GB"/>
        </w:rPr>
      </w:pPr>
      <w:r w:rsidRPr="00163B74">
        <w:rPr>
          <w:rFonts w:eastAsia="Calibri" w:cs="Times New Roman"/>
          <w:b/>
          <w:u w:val="single"/>
          <w:lang w:val="en-GB"/>
        </w:rPr>
        <w:t>Purpose</w:t>
      </w:r>
      <w:r w:rsidRPr="00163B74">
        <w:rPr>
          <w:rFonts w:eastAsia="Calibri" w:cs="Times New Roman"/>
          <w:lang w:val="en-GB"/>
        </w:rPr>
        <w:t xml:space="preserve"> – to clearly articulate the PCN’s agreed vision, objectives and action plan, including;</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Background and context</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 xml:space="preserve">Assessment of the PCNs current status, utilising and developing  the maturity matrix </w:t>
      </w:r>
      <w:r w:rsidRPr="00163B74">
        <w:rPr>
          <w:rFonts w:eastAsia="Calibri" w:cs="Times New Roman"/>
          <w:b/>
          <w:sz w:val="22"/>
          <w:szCs w:val="22"/>
          <w:lang w:val="en-GB"/>
        </w:rPr>
        <w:t xml:space="preserve">(Appendix </w:t>
      </w:r>
      <w:r w:rsidR="00DC6077">
        <w:rPr>
          <w:rFonts w:eastAsia="Calibri" w:cs="Times New Roman"/>
          <w:b/>
          <w:sz w:val="22"/>
          <w:szCs w:val="22"/>
          <w:lang w:val="en-GB"/>
        </w:rPr>
        <w:t>B</w:t>
      </w:r>
      <w:r w:rsidRPr="00163B74">
        <w:rPr>
          <w:rFonts w:eastAsia="Calibri" w:cs="Times New Roman"/>
          <w:b/>
          <w:sz w:val="22"/>
          <w:szCs w:val="22"/>
          <w:lang w:val="en-GB"/>
        </w:rPr>
        <w:t>)</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PCN’s mission and vision, options include;</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contextualSpacing/>
        <w:jc w:val="both"/>
        <w:textAlignment w:val="baseline"/>
        <w:rPr>
          <w:rFonts w:ascii="Calibri" w:eastAsiaTheme="minorHAnsi" w:hAnsi="Calibri"/>
          <w:sz w:val="22"/>
          <w:szCs w:val="22"/>
          <w:lang w:val="en-GB"/>
        </w:rPr>
      </w:pPr>
      <w:r w:rsidRPr="00163B74">
        <w:rPr>
          <w:rFonts w:eastAsiaTheme="minorHAnsi"/>
          <w:sz w:val="22"/>
          <w:szCs w:val="22"/>
          <w:lang w:val="en-GB"/>
        </w:rPr>
        <w:t>Left shift the focus to primary and community care, improving prevention</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contextualSpacing/>
        <w:jc w:val="both"/>
        <w:textAlignment w:val="baseline"/>
        <w:rPr>
          <w:rFonts w:ascii="Calibri" w:eastAsiaTheme="minorHAnsi" w:hAnsi="Calibri"/>
          <w:sz w:val="22"/>
          <w:szCs w:val="22"/>
          <w:lang w:val="en-GB"/>
        </w:rPr>
      </w:pPr>
      <w:r w:rsidRPr="00163B74">
        <w:rPr>
          <w:rFonts w:ascii="Calibri" w:eastAsiaTheme="minorHAnsi" w:hAnsi="Calibri"/>
          <w:sz w:val="22"/>
          <w:szCs w:val="22"/>
          <w:lang w:val="en-GB"/>
        </w:rPr>
        <w:t>Greater sustainability</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jc w:val="both"/>
        <w:textAlignment w:val="baseline"/>
        <w:rPr>
          <w:rFonts w:ascii="Calibri" w:eastAsiaTheme="minorHAnsi" w:hAnsi="Calibri"/>
          <w:sz w:val="22"/>
          <w:szCs w:val="22"/>
          <w:lang w:val="en-GB"/>
        </w:rPr>
      </w:pPr>
      <w:r w:rsidRPr="00163B74">
        <w:rPr>
          <w:rFonts w:ascii="Calibri" w:eastAsiaTheme="minorHAnsi" w:hAnsi="Calibri"/>
          <w:sz w:val="22"/>
          <w:szCs w:val="22"/>
          <w:lang w:val="en-GB"/>
        </w:rPr>
        <w:t>Offer a wider range of services and greater specialization.</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jc w:val="both"/>
        <w:textAlignment w:val="baseline"/>
        <w:rPr>
          <w:rFonts w:ascii="Calibri" w:eastAsiaTheme="minorHAnsi" w:hAnsi="Calibri"/>
          <w:sz w:val="22"/>
          <w:szCs w:val="22"/>
          <w:lang w:val="en-GB"/>
        </w:rPr>
      </w:pPr>
      <w:r w:rsidRPr="00163B74">
        <w:rPr>
          <w:rFonts w:ascii="Calibri" w:eastAsiaTheme="minorHAnsi" w:hAnsi="Calibri"/>
          <w:sz w:val="22"/>
          <w:szCs w:val="22"/>
          <w:lang w:val="en-GB"/>
        </w:rPr>
        <w:t>Benefit of sharing staff and expertise and building the MDT.</w:t>
      </w:r>
    </w:p>
    <w:p w:rsidR="00163B74" w:rsidRPr="00163B74" w:rsidRDefault="00163B74" w:rsidP="00163B74">
      <w:pPr>
        <w:numPr>
          <w:ilvl w:val="1"/>
          <w:numId w:val="46"/>
        </w:numPr>
        <w:spacing w:after="200" w:line="480" w:lineRule="auto"/>
        <w:ind w:left="1080"/>
        <w:contextualSpacing/>
        <w:rPr>
          <w:rFonts w:ascii="Calibri" w:eastAsiaTheme="minorHAnsi" w:hAnsi="Calibri"/>
          <w:sz w:val="22"/>
          <w:szCs w:val="22"/>
          <w:lang w:val="en-GB"/>
        </w:rPr>
      </w:pPr>
      <w:r w:rsidRPr="00163B74">
        <w:rPr>
          <w:rFonts w:ascii="Calibri" w:eastAsiaTheme="minorHAnsi" w:hAnsi="Calibri"/>
          <w:sz w:val="22"/>
          <w:szCs w:val="22"/>
          <w:lang w:val="en-GB"/>
        </w:rPr>
        <w:t>Create m</w:t>
      </w:r>
      <w:r w:rsidRPr="00163B74">
        <w:rPr>
          <w:rFonts w:ascii="Calibri" w:eastAsiaTheme="minorHAnsi" w:hAnsi="Calibri"/>
          <w:color w:val="000000"/>
          <w:kern w:val="24"/>
          <w:sz w:val="22"/>
          <w:szCs w:val="22"/>
          <w:lang w:val="en-GB"/>
        </w:rPr>
        <w:t>ore attractive, flexible and diverse career, training and employment options</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jc w:val="both"/>
        <w:textAlignment w:val="baseline"/>
        <w:rPr>
          <w:rFonts w:ascii="Calibri" w:eastAsiaTheme="minorHAnsi" w:hAnsi="Calibri"/>
          <w:sz w:val="22"/>
          <w:szCs w:val="22"/>
          <w:lang w:val="en-GB"/>
        </w:rPr>
      </w:pPr>
      <w:r w:rsidRPr="00163B74">
        <w:rPr>
          <w:rFonts w:ascii="Calibri" w:eastAsiaTheme="minorHAnsi" w:hAnsi="Calibri"/>
          <w:sz w:val="22"/>
          <w:szCs w:val="22"/>
          <w:lang w:val="en-GB"/>
        </w:rPr>
        <w:t>Standardise administration processes</w:t>
      </w:r>
    </w:p>
    <w:p w:rsidR="00163B74" w:rsidRPr="00163B74" w:rsidRDefault="00163B74" w:rsidP="00163B74">
      <w:pPr>
        <w:widowControl w:val="0"/>
        <w:numPr>
          <w:ilvl w:val="1"/>
          <w:numId w:val="46"/>
        </w:numPr>
        <w:overflowPunct w:val="0"/>
        <w:autoSpaceDE w:val="0"/>
        <w:autoSpaceDN w:val="0"/>
        <w:adjustRightInd w:val="0"/>
        <w:spacing w:after="200" w:line="480" w:lineRule="auto"/>
        <w:ind w:left="1080"/>
        <w:jc w:val="both"/>
        <w:textAlignment w:val="baseline"/>
        <w:rPr>
          <w:rFonts w:ascii="Calibri" w:eastAsiaTheme="minorHAnsi" w:hAnsi="Calibri"/>
          <w:sz w:val="22"/>
          <w:szCs w:val="22"/>
          <w:lang w:val="en-GB"/>
        </w:rPr>
      </w:pPr>
      <w:r w:rsidRPr="00163B74">
        <w:rPr>
          <w:rFonts w:ascii="Calibri" w:eastAsiaTheme="minorHAnsi" w:hAnsi="Calibri"/>
          <w:sz w:val="22"/>
          <w:szCs w:val="22"/>
          <w:lang w:val="en-GB"/>
        </w:rPr>
        <w:t xml:space="preserve">Developing new models of care / integration with community providers. </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Strategic objectives</w:t>
      </w:r>
    </w:p>
    <w:p w:rsidR="00163B74" w:rsidRPr="00163B74" w:rsidRDefault="00163B74" w:rsidP="00163B74">
      <w:pPr>
        <w:numPr>
          <w:ilvl w:val="0"/>
          <w:numId w:val="45"/>
        </w:numPr>
        <w:spacing w:after="200" w:line="480" w:lineRule="auto"/>
        <w:ind w:left="360"/>
        <w:contextualSpacing/>
        <w:rPr>
          <w:rFonts w:eastAsia="Calibri" w:cs="Times New Roman"/>
          <w:i/>
          <w:sz w:val="22"/>
          <w:szCs w:val="22"/>
          <w:lang w:val="en-GB"/>
        </w:rPr>
      </w:pPr>
      <w:r w:rsidRPr="00163B74">
        <w:rPr>
          <w:rFonts w:eastAsia="Calibri" w:cs="Times New Roman"/>
          <w:sz w:val="22"/>
          <w:szCs w:val="22"/>
          <w:lang w:val="en-GB"/>
        </w:rPr>
        <w:t>Option appraisal on the PCN operating model &amp; organisational structure</w:t>
      </w:r>
      <w:r w:rsidRPr="00163B74">
        <w:rPr>
          <w:rFonts w:eastAsia="Calibri" w:cs="Times New Roman"/>
          <w:i/>
          <w:sz w:val="22"/>
          <w:szCs w:val="22"/>
          <w:lang w:val="en-GB"/>
        </w:rPr>
        <w:t xml:space="preserve"> </w:t>
      </w:r>
    </w:p>
    <w:p w:rsidR="00163B74" w:rsidRPr="00163B74" w:rsidRDefault="00163B74" w:rsidP="00163B74">
      <w:pPr>
        <w:spacing w:line="480" w:lineRule="auto"/>
        <w:ind w:left="1080"/>
        <w:contextualSpacing/>
        <w:rPr>
          <w:rFonts w:eastAsia="Calibri" w:cs="Times New Roman"/>
          <w:i/>
          <w:sz w:val="22"/>
          <w:szCs w:val="22"/>
          <w:lang w:val="en-GB"/>
        </w:rPr>
      </w:pPr>
      <w:r w:rsidRPr="00163B74">
        <w:rPr>
          <w:rFonts w:eastAsia="Calibri" w:cs="Times New Roman"/>
          <w:i/>
          <w:sz w:val="22"/>
          <w:szCs w:val="22"/>
          <w:lang w:val="en-GB"/>
        </w:rPr>
        <w:t xml:space="preserve">(Options </w:t>
      </w:r>
      <w:proofErr w:type="spellStart"/>
      <w:r w:rsidRPr="00163B74">
        <w:rPr>
          <w:rFonts w:eastAsia="Calibri" w:cs="Times New Roman"/>
          <w:i/>
          <w:sz w:val="22"/>
          <w:szCs w:val="22"/>
          <w:lang w:val="en-GB"/>
        </w:rPr>
        <w:t>incl</w:t>
      </w:r>
      <w:proofErr w:type="spellEnd"/>
      <w:r w:rsidRPr="00163B74">
        <w:rPr>
          <w:rFonts w:eastAsia="Calibri" w:cs="Times New Roman"/>
          <w:i/>
          <w:sz w:val="22"/>
          <w:szCs w:val="22"/>
          <w:lang w:val="en-GB"/>
        </w:rPr>
        <w:t>; Flat practice network, Lead provider, Federation, Provider entity (</w:t>
      </w:r>
      <w:proofErr w:type="spellStart"/>
      <w:r w:rsidRPr="00163B74">
        <w:rPr>
          <w:rFonts w:eastAsia="Calibri" w:cs="Times New Roman"/>
          <w:i/>
          <w:sz w:val="22"/>
          <w:szCs w:val="22"/>
          <w:lang w:val="en-GB"/>
        </w:rPr>
        <w:t>eg</w:t>
      </w:r>
      <w:proofErr w:type="spellEnd"/>
      <w:r w:rsidRPr="00163B74">
        <w:rPr>
          <w:rFonts w:eastAsia="Calibri" w:cs="Times New Roman"/>
          <w:i/>
          <w:sz w:val="22"/>
          <w:szCs w:val="22"/>
          <w:lang w:val="en-GB"/>
        </w:rPr>
        <w:t>, CIC), Super-practice)</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PCN internal governance and decision making arrangements</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 xml:space="preserve">PCN workforce and employment plan </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PCN Financial plan &amp; budget management arrangements</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Terms of Reference for the PCN</w:t>
      </w:r>
    </w:p>
    <w:p w:rsidR="00163B74" w:rsidRPr="00163B74" w:rsidRDefault="00163B74" w:rsidP="00163B74">
      <w:pPr>
        <w:numPr>
          <w:ilvl w:val="0"/>
          <w:numId w:val="45"/>
        </w:numPr>
        <w:spacing w:after="200" w:line="480" w:lineRule="auto"/>
        <w:ind w:left="360"/>
        <w:contextualSpacing/>
        <w:rPr>
          <w:rFonts w:eastAsia="Calibri" w:cs="Times New Roman"/>
          <w:sz w:val="22"/>
          <w:szCs w:val="22"/>
          <w:lang w:val="en-GB"/>
        </w:rPr>
      </w:pPr>
      <w:r w:rsidRPr="00163B74">
        <w:rPr>
          <w:rFonts w:eastAsia="Calibri" w:cs="Times New Roman"/>
          <w:sz w:val="22"/>
          <w:szCs w:val="22"/>
          <w:lang w:val="en-GB"/>
        </w:rPr>
        <w:t xml:space="preserve">Action plan </w:t>
      </w:r>
    </w:p>
    <w:p w:rsidR="00163B74" w:rsidRPr="00163B74" w:rsidRDefault="00163B74" w:rsidP="00163B74">
      <w:pPr>
        <w:numPr>
          <w:ilvl w:val="0"/>
          <w:numId w:val="45"/>
        </w:numPr>
        <w:spacing w:after="200" w:line="360" w:lineRule="auto"/>
        <w:ind w:left="360"/>
        <w:contextualSpacing/>
        <w:rPr>
          <w:rFonts w:eastAsia="Calibri" w:cs="Times New Roman"/>
          <w:sz w:val="22"/>
          <w:szCs w:val="22"/>
          <w:lang w:val="en-GB"/>
        </w:rPr>
      </w:pPr>
      <w:r w:rsidRPr="00163B74">
        <w:rPr>
          <w:rFonts w:eastAsia="Calibri" w:cs="Times New Roman"/>
          <w:sz w:val="22"/>
          <w:szCs w:val="22"/>
          <w:lang w:val="en-GB"/>
        </w:rPr>
        <w:t>Risk register &amp; mitigations</w:t>
      </w:r>
    </w:p>
    <w:p w:rsidR="00163B74" w:rsidRPr="00163B74" w:rsidRDefault="00163B74" w:rsidP="00163B74">
      <w:pPr>
        <w:spacing w:after="200" w:line="276" w:lineRule="auto"/>
        <w:rPr>
          <w:rFonts w:eastAsiaTheme="minorHAnsi"/>
          <w:b/>
          <w:sz w:val="22"/>
          <w:szCs w:val="22"/>
          <w:lang w:val="en-GB"/>
        </w:rPr>
      </w:pPr>
    </w:p>
    <w:p w:rsidR="00163B74" w:rsidRPr="00163B74" w:rsidRDefault="00163B74" w:rsidP="00163B74">
      <w:pPr>
        <w:spacing w:after="200" w:line="276" w:lineRule="auto"/>
        <w:rPr>
          <w:rFonts w:eastAsiaTheme="minorHAnsi"/>
          <w:b/>
          <w:sz w:val="22"/>
          <w:szCs w:val="22"/>
          <w:lang w:val="en-GB"/>
        </w:rPr>
        <w:sectPr w:rsidR="00163B74" w:rsidRPr="00163B74" w:rsidSect="00C267B1">
          <w:footerReference w:type="default" r:id="rId12"/>
          <w:pgSz w:w="11906" w:h="16838"/>
          <w:pgMar w:top="1135" w:right="1133" w:bottom="1276" w:left="1440" w:header="708" w:footer="561" w:gutter="0"/>
          <w:cols w:space="708"/>
          <w:docGrid w:linePitch="360"/>
        </w:sectPr>
      </w:pPr>
    </w:p>
    <w:p w:rsidR="00163B74" w:rsidRPr="00163B74" w:rsidRDefault="00DC6077" w:rsidP="00163B74">
      <w:pPr>
        <w:spacing w:after="200" w:line="276" w:lineRule="auto"/>
        <w:rPr>
          <w:rFonts w:eastAsiaTheme="minorHAnsi"/>
          <w:b/>
          <w:sz w:val="22"/>
          <w:szCs w:val="22"/>
          <w:u w:val="single"/>
          <w:lang w:val="en-GB"/>
        </w:rPr>
      </w:pPr>
      <w:r>
        <w:rPr>
          <w:rFonts w:eastAsiaTheme="minorHAnsi"/>
          <w:b/>
          <w:sz w:val="22"/>
          <w:szCs w:val="22"/>
          <w:u w:val="single"/>
          <w:lang w:val="en-GB"/>
        </w:rPr>
        <w:lastRenderedPageBreak/>
        <w:t>Appendix B</w:t>
      </w:r>
      <w:r w:rsidR="00163B74" w:rsidRPr="00163B74">
        <w:rPr>
          <w:rFonts w:eastAsiaTheme="minorHAnsi"/>
          <w:b/>
          <w:sz w:val="22"/>
          <w:szCs w:val="22"/>
          <w:u w:val="single"/>
          <w:lang w:val="en-GB"/>
        </w:rPr>
        <w:t xml:space="preserve"> – Maturity Matrix</w:t>
      </w:r>
    </w:p>
    <w:p w:rsidR="00163B74" w:rsidRPr="00163B74" w:rsidRDefault="00163B74" w:rsidP="00163B74">
      <w:pPr>
        <w:rPr>
          <w:rFonts w:eastAsia="Times New Roman" w:cs="Arial"/>
          <w:bCs/>
          <w:iCs/>
          <w:color w:val="333333"/>
          <w:sz w:val="22"/>
          <w:szCs w:val="22"/>
          <w:lang w:val="en-GB" w:eastAsia="en-GB"/>
        </w:rPr>
      </w:pPr>
    </w:p>
    <w:p w:rsidR="000D1F53" w:rsidRDefault="00F700CA" w:rsidP="00F700CA">
      <w:pPr>
        <w:pStyle w:val="ListParagraph"/>
        <w:tabs>
          <w:tab w:val="left" w:pos="5542"/>
        </w:tabs>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ab/>
      </w:r>
    </w:p>
    <w:p w:rsidR="00755985" w:rsidRDefault="00DC6077">
      <w:pPr>
        <w:spacing w:after="200" w:line="276" w:lineRule="auto"/>
        <w:rPr>
          <w:rFonts w:eastAsia="Times New Roman" w:cs="Arial"/>
          <w:bCs/>
          <w:iCs/>
          <w:color w:val="333333"/>
          <w:sz w:val="22"/>
          <w:szCs w:val="22"/>
          <w:lang w:val="en-GB" w:eastAsia="en-GB"/>
        </w:rPr>
      </w:pPr>
      <w:r>
        <w:rPr>
          <w:noProof/>
          <w:lang w:val="en-GB" w:eastAsia="en-GB"/>
        </w:rPr>
        <w:drawing>
          <wp:inline distT="0" distB="0" distL="0" distR="0" wp14:anchorId="4CB33BE9" wp14:editId="130E2B2B">
            <wp:extent cx="5759450" cy="3738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7169" t="14322" r="18600" b="11449"/>
                    <a:stretch>
                      <a:fillRect/>
                    </a:stretch>
                  </pic:blipFill>
                  <pic:spPr bwMode="auto">
                    <a:xfrm>
                      <a:off x="0" y="0"/>
                      <a:ext cx="5759450" cy="3738180"/>
                    </a:xfrm>
                    <a:prstGeom prst="rect">
                      <a:avLst/>
                    </a:prstGeom>
                    <a:noFill/>
                    <a:ln>
                      <a:noFill/>
                    </a:ln>
                  </pic:spPr>
                </pic:pic>
              </a:graphicData>
            </a:graphic>
          </wp:inline>
        </w:drawing>
      </w:r>
    </w:p>
    <w:p w:rsidR="00755985" w:rsidRDefault="00755985">
      <w:pPr>
        <w:spacing w:after="200" w:line="276" w:lineRule="auto"/>
        <w:rPr>
          <w:rFonts w:eastAsia="Times New Roman" w:cs="Arial"/>
          <w:bCs/>
          <w:iCs/>
          <w:color w:val="333333"/>
          <w:sz w:val="22"/>
          <w:szCs w:val="22"/>
          <w:lang w:val="en-GB" w:eastAsia="en-GB"/>
        </w:rPr>
      </w:pPr>
      <w:r>
        <w:rPr>
          <w:rFonts w:eastAsia="Times New Roman" w:cs="Arial"/>
          <w:bCs/>
          <w:iCs/>
          <w:color w:val="333333"/>
          <w:sz w:val="22"/>
          <w:szCs w:val="22"/>
          <w:lang w:val="en-GB" w:eastAsia="en-GB"/>
        </w:rPr>
        <w:br w:type="page"/>
      </w:r>
    </w:p>
    <w:p w:rsidR="00755985" w:rsidRDefault="00755985" w:rsidP="00755985">
      <w:pPr>
        <w:rPr>
          <w:rFonts w:eastAsiaTheme="minorHAnsi"/>
          <w:b/>
          <w:sz w:val="22"/>
          <w:szCs w:val="22"/>
          <w:u w:val="single"/>
          <w:lang w:val="en-GB"/>
        </w:rPr>
      </w:pPr>
      <w:r w:rsidRPr="00755985">
        <w:rPr>
          <w:rFonts w:eastAsia="Times New Roman" w:cs="Arial"/>
          <w:b/>
          <w:bCs/>
          <w:iCs/>
          <w:color w:val="333333"/>
          <w:sz w:val="22"/>
          <w:szCs w:val="22"/>
          <w:u w:val="single"/>
          <w:lang w:val="en-GB" w:eastAsia="en-GB"/>
        </w:rPr>
        <w:lastRenderedPageBreak/>
        <w:t>Appendix 2</w:t>
      </w:r>
      <w:r w:rsidRPr="00755985">
        <w:rPr>
          <w:rFonts w:eastAsiaTheme="minorHAnsi"/>
          <w:b/>
          <w:sz w:val="22"/>
          <w:szCs w:val="22"/>
          <w:u w:val="single"/>
          <w:lang w:val="en-GB"/>
        </w:rPr>
        <w:t xml:space="preserve"> </w:t>
      </w:r>
      <w:r>
        <w:rPr>
          <w:rFonts w:eastAsiaTheme="minorHAnsi"/>
          <w:b/>
          <w:sz w:val="22"/>
          <w:szCs w:val="22"/>
          <w:u w:val="single"/>
          <w:lang w:val="en-GB"/>
        </w:rPr>
        <w:t xml:space="preserve">- </w:t>
      </w:r>
      <w:r w:rsidRPr="00755985">
        <w:rPr>
          <w:rFonts w:eastAsiaTheme="minorHAnsi"/>
          <w:b/>
          <w:sz w:val="22"/>
          <w:szCs w:val="22"/>
          <w:u w:val="single"/>
          <w:lang w:val="en-GB"/>
        </w:rPr>
        <w:t>Primary Care Network Accountable Clinical Director</w:t>
      </w:r>
    </w:p>
    <w:p w:rsidR="00755985" w:rsidRPr="00755985" w:rsidRDefault="00755985" w:rsidP="00755985">
      <w:pPr>
        <w:rPr>
          <w:rFonts w:eastAsiaTheme="minorHAnsi"/>
          <w:b/>
          <w:sz w:val="22"/>
          <w:szCs w:val="22"/>
          <w:u w:val="single"/>
          <w:lang w:val="en-GB"/>
        </w:rPr>
      </w:pPr>
    </w:p>
    <w:p w:rsidR="00755985" w:rsidRPr="00755985" w:rsidRDefault="00755985" w:rsidP="00755985">
      <w:pPr>
        <w:numPr>
          <w:ilvl w:val="0"/>
          <w:numId w:val="48"/>
        </w:numPr>
        <w:spacing w:after="200" w:line="276" w:lineRule="auto"/>
        <w:contextualSpacing/>
        <w:rPr>
          <w:rFonts w:eastAsiaTheme="minorHAnsi"/>
          <w:sz w:val="22"/>
          <w:szCs w:val="22"/>
          <w:lang w:val="en-GB"/>
        </w:rPr>
      </w:pPr>
      <w:r w:rsidRPr="00755985">
        <w:rPr>
          <w:rFonts w:eastAsiaTheme="minorHAnsi"/>
          <w:b/>
          <w:sz w:val="22"/>
          <w:szCs w:val="22"/>
          <w:u w:val="single"/>
          <w:lang w:val="en-GB"/>
        </w:rPr>
        <w:t>Time commitment</w:t>
      </w:r>
      <w:proofErr w:type="gramStart"/>
      <w:r w:rsidRPr="00755985">
        <w:rPr>
          <w:rFonts w:eastAsiaTheme="minorHAnsi"/>
          <w:b/>
          <w:sz w:val="22"/>
          <w:szCs w:val="22"/>
          <w:lang w:val="en-GB"/>
        </w:rPr>
        <w:t xml:space="preserve">;  </w:t>
      </w:r>
      <w:r w:rsidRPr="00755985">
        <w:rPr>
          <w:rFonts w:eastAsiaTheme="minorHAnsi"/>
          <w:sz w:val="22"/>
          <w:szCs w:val="22"/>
          <w:lang w:val="en-GB"/>
        </w:rPr>
        <w:t>Minimum</w:t>
      </w:r>
      <w:proofErr w:type="gramEnd"/>
      <w:r w:rsidRPr="00755985">
        <w:rPr>
          <w:rFonts w:eastAsiaTheme="minorHAnsi"/>
          <w:sz w:val="22"/>
          <w:szCs w:val="22"/>
          <w:lang w:val="en-GB"/>
        </w:rPr>
        <w:t xml:space="preserve"> two sessions per week – actual to be confirmed with PCN members to account for local requirements and financing.</w:t>
      </w:r>
    </w:p>
    <w:p w:rsidR="00755985" w:rsidRPr="00755985" w:rsidRDefault="00755985" w:rsidP="00755985">
      <w:pPr>
        <w:spacing w:after="200" w:line="276" w:lineRule="auto"/>
        <w:ind w:left="360"/>
        <w:contextualSpacing/>
        <w:rPr>
          <w:rFonts w:eastAsiaTheme="minorHAnsi"/>
          <w:sz w:val="16"/>
          <w:szCs w:val="16"/>
          <w:lang w:val="en-GB"/>
        </w:rPr>
      </w:pPr>
    </w:p>
    <w:p w:rsidR="00755985" w:rsidRPr="00755985" w:rsidRDefault="00755985" w:rsidP="00755985">
      <w:pPr>
        <w:numPr>
          <w:ilvl w:val="0"/>
          <w:numId w:val="48"/>
        </w:numPr>
        <w:spacing w:after="200" w:line="276" w:lineRule="auto"/>
        <w:contextualSpacing/>
        <w:rPr>
          <w:rFonts w:eastAsiaTheme="minorHAnsi"/>
          <w:sz w:val="22"/>
          <w:szCs w:val="22"/>
          <w:lang w:val="en-GB"/>
        </w:rPr>
      </w:pPr>
      <w:r w:rsidRPr="00755985">
        <w:rPr>
          <w:rFonts w:eastAsiaTheme="minorHAnsi"/>
          <w:b/>
          <w:sz w:val="22"/>
          <w:szCs w:val="22"/>
          <w:u w:val="single"/>
          <w:lang w:val="en-GB"/>
        </w:rPr>
        <w:t>Reimbursement</w:t>
      </w:r>
      <w:proofErr w:type="gramStart"/>
      <w:r w:rsidRPr="00755985">
        <w:rPr>
          <w:rFonts w:eastAsiaTheme="minorHAnsi"/>
          <w:b/>
          <w:sz w:val="22"/>
          <w:szCs w:val="22"/>
          <w:lang w:val="en-GB"/>
        </w:rPr>
        <w:t xml:space="preserve">;  </w:t>
      </w:r>
      <w:r w:rsidRPr="00755985">
        <w:rPr>
          <w:rFonts w:eastAsiaTheme="minorHAnsi"/>
          <w:sz w:val="22"/>
          <w:szCs w:val="22"/>
          <w:lang w:val="en-GB"/>
        </w:rPr>
        <w:t>In</w:t>
      </w:r>
      <w:proofErr w:type="gramEnd"/>
      <w:r w:rsidRPr="00755985">
        <w:rPr>
          <w:rFonts w:eastAsiaTheme="minorHAnsi"/>
          <w:sz w:val="22"/>
          <w:szCs w:val="22"/>
          <w:lang w:val="en-GB"/>
        </w:rPr>
        <w:t xml:space="preserve"> line with the CCG GP Board posts – to be confirmed with PCN members.</w:t>
      </w:r>
    </w:p>
    <w:p w:rsidR="00755985" w:rsidRPr="00755985" w:rsidRDefault="00755985" w:rsidP="00755985">
      <w:pPr>
        <w:spacing w:after="200" w:line="276" w:lineRule="auto"/>
        <w:ind w:left="720"/>
        <w:contextualSpacing/>
        <w:rPr>
          <w:rFonts w:eastAsiaTheme="minorHAnsi"/>
          <w:sz w:val="16"/>
          <w:szCs w:val="16"/>
          <w:lang w:val="en-GB"/>
        </w:rPr>
      </w:pPr>
    </w:p>
    <w:p w:rsidR="00755985" w:rsidRPr="00755985" w:rsidRDefault="00755985" w:rsidP="00755985">
      <w:pPr>
        <w:numPr>
          <w:ilvl w:val="0"/>
          <w:numId w:val="48"/>
        </w:numPr>
        <w:spacing w:after="200" w:line="276" w:lineRule="auto"/>
        <w:contextualSpacing/>
        <w:rPr>
          <w:rFonts w:eastAsiaTheme="minorHAnsi"/>
          <w:sz w:val="22"/>
          <w:szCs w:val="22"/>
          <w:lang w:val="en-GB"/>
        </w:rPr>
      </w:pPr>
      <w:r w:rsidRPr="00755985">
        <w:rPr>
          <w:rFonts w:eastAsiaTheme="minorHAnsi"/>
          <w:b/>
          <w:sz w:val="22"/>
          <w:szCs w:val="22"/>
          <w:u w:val="single"/>
          <w:lang w:val="en-GB"/>
        </w:rPr>
        <w:t>Term</w:t>
      </w:r>
      <w:proofErr w:type="gramStart"/>
      <w:r w:rsidRPr="00755985">
        <w:rPr>
          <w:rFonts w:eastAsiaTheme="minorHAnsi"/>
          <w:b/>
          <w:sz w:val="22"/>
          <w:szCs w:val="22"/>
          <w:u w:val="single"/>
          <w:lang w:val="en-GB"/>
        </w:rPr>
        <w:t>;</w:t>
      </w:r>
      <w:r w:rsidRPr="00755985">
        <w:rPr>
          <w:rFonts w:eastAsiaTheme="minorHAnsi"/>
          <w:sz w:val="22"/>
          <w:szCs w:val="22"/>
          <w:lang w:val="en-GB"/>
        </w:rPr>
        <w:t xml:space="preserve">  Circa</w:t>
      </w:r>
      <w:proofErr w:type="gramEnd"/>
      <w:r w:rsidRPr="00755985">
        <w:rPr>
          <w:rFonts w:eastAsiaTheme="minorHAnsi"/>
          <w:sz w:val="22"/>
          <w:szCs w:val="22"/>
          <w:lang w:val="en-GB"/>
        </w:rPr>
        <w:t xml:space="preserve"> two years – to be confirmed with PCN members.</w:t>
      </w:r>
    </w:p>
    <w:p w:rsidR="00755985" w:rsidRPr="00755985" w:rsidRDefault="00755985" w:rsidP="00755985">
      <w:pPr>
        <w:spacing w:after="200" w:line="276" w:lineRule="auto"/>
        <w:ind w:left="360"/>
        <w:contextualSpacing/>
        <w:rPr>
          <w:rFonts w:eastAsiaTheme="minorHAnsi"/>
          <w:sz w:val="16"/>
          <w:szCs w:val="16"/>
          <w:lang w:val="en-GB"/>
        </w:rPr>
      </w:pPr>
    </w:p>
    <w:p w:rsidR="00755985" w:rsidRPr="00755985" w:rsidRDefault="00755985" w:rsidP="00755985">
      <w:pPr>
        <w:numPr>
          <w:ilvl w:val="0"/>
          <w:numId w:val="48"/>
        </w:numPr>
        <w:spacing w:after="200" w:line="276" w:lineRule="auto"/>
        <w:contextualSpacing/>
        <w:rPr>
          <w:rFonts w:eastAsiaTheme="minorHAnsi"/>
          <w:b/>
          <w:sz w:val="22"/>
          <w:szCs w:val="22"/>
          <w:u w:val="single"/>
          <w:lang w:val="en-GB"/>
        </w:rPr>
      </w:pPr>
      <w:r w:rsidRPr="00755985">
        <w:rPr>
          <w:rFonts w:eastAsiaTheme="minorHAnsi"/>
          <w:b/>
          <w:sz w:val="22"/>
          <w:szCs w:val="22"/>
          <w:u w:val="single"/>
          <w:lang w:val="en-GB"/>
        </w:rPr>
        <w:t>Role summary</w:t>
      </w:r>
    </w:p>
    <w:p w:rsidR="00755985" w:rsidRPr="00755985" w:rsidRDefault="00755985" w:rsidP="00755985">
      <w:pPr>
        <w:spacing w:line="276" w:lineRule="auto"/>
        <w:ind w:left="360"/>
        <w:contextualSpacing/>
        <w:rPr>
          <w:rFonts w:eastAsiaTheme="minorHAnsi"/>
          <w:b/>
          <w:sz w:val="16"/>
          <w:szCs w:val="16"/>
          <w:u w:val="single"/>
          <w:lang w:val="en-GB"/>
        </w:rPr>
      </w:pPr>
    </w:p>
    <w:p w:rsidR="00755985" w:rsidRPr="00755985" w:rsidRDefault="00755985" w:rsidP="00755985">
      <w:pPr>
        <w:spacing w:line="276" w:lineRule="auto"/>
        <w:rPr>
          <w:rFonts w:eastAsiaTheme="minorHAnsi"/>
          <w:sz w:val="22"/>
          <w:szCs w:val="22"/>
          <w:lang w:val="en-GB"/>
        </w:rPr>
      </w:pPr>
      <w:r w:rsidRPr="00755985">
        <w:rPr>
          <w:rFonts w:eastAsiaTheme="minorHAnsi"/>
          <w:sz w:val="22"/>
          <w:szCs w:val="22"/>
          <w:lang w:val="en-GB"/>
        </w:rPr>
        <w:t>The Accountable Clinical Director (ACD) will be accountable to the Primary Care Network (PCN) members and provide leadership for the PCN’s strategic plans, working with members to improve the quality, cost and effectiveness of the services it offers.  This will include professional leadership of the Quality and Outcomes Framework Quality Improvement activity across the PCN.</w:t>
      </w:r>
    </w:p>
    <w:p w:rsidR="00755985" w:rsidRPr="00755985" w:rsidRDefault="00755985" w:rsidP="00755985">
      <w:pPr>
        <w:spacing w:line="276" w:lineRule="auto"/>
        <w:rPr>
          <w:rFonts w:eastAsiaTheme="minorHAnsi"/>
          <w:sz w:val="16"/>
          <w:szCs w:val="16"/>
          <w:lang w:val="en-GB"/>
        </w:rPr>
      </w:pPr>
    </w:p>
    <w:p w:rsidR="00755985" w:rsidRPr="00755985" w:rsidRDefault="00755985" w:rsidP="00755985">
      <w:pPr>
        <w:autoSpaceDE w:val="0"/>
        <w:autoSpaceDN w:val="0"/>
        <w:adjustRightInd w:val="0"/>
        <w:rPr>
          <w:rFonts w:eastAsiaTheme="minorHAnsi" w:cs="Arial"/>
          <w:color w:val="000000"/>
          <w:sz w:val="22"/>
          <w:szCs w:val="22"/>
          <w:lang w:val="en-GB"/>
        </w:rPr>
      </w:pPr>
      <w:r w:rsidRPr="00755985">
        <w:rPr>
          <w:rFonts w:eastAsiaTheme="minorHAnsi" w:cs="Arial"/>
          <w:color w:val="000000"/>
          <w:sz w:val="22"/>
          <w:szCs w:val="22"/>
          <w:lang w:val="en-GB"/>
        </w:rPr>
        <w:t xml:space="preserve">The ACD will be a practicing clinician from within the PCN member practices able to undertake the responsibilities of the role and represent the PCN’s collective interests.  It is most likely this role will be fulfilled by a GP but this is not an absolute requirement. </w:t>
      </w:r>
    </w:p>
    <w:p w:rsidR="00755985" w:rsidRPr="00755985" w:rsidRDefault="00755985" w:rsidP="00755985">
      <w:pPr>
        <w:autoSpaceDE w:val="0"/>
        <w:autoSpaceDN w:val="0"/>
        <w:adjustRightInd w:val="0"/>
        <w:rPr>
          <w:rFonts w:eastAsiaTheme="minorHAnsi" w:cs="Arial"/>
          <w:color w:val="000000"/>
          <w:sz w:val="16"/>
          <w:szCs w:val="16"/>
          <w:lang w:val="en-GB"/>
        </w:rPr>
      </w:pPr>
    </w:p>
    <w:p w:rsidR="00755985" w:rsidRPr="00755985" w:rsidRDefault="00755985" w:rsidP="00755985">
      <w:pPr>
        <w:autoSpaceDE w:val="0"/>
        <w:autoSpaceDN w:val="0"/>
        <w:adjustRightInd w:val="0"/>
        <w:rPr>
          <w:rFonts w:eastAsiaTheme="minorHAnsi" w:cs="Arial"/>
          <w:color w:val="000000"/>
          <w:sz w:val="22"/>
          <w:szCs w:val="22"/>
          <w:lang w:val="en-GB"/>
        </w:rPr>
      </w:pPr>
      <w:r w:rsidRPr="00755985">
        <w:rPr>
          <w:rFonts w:eastAsiaTheme="minorHAnsi" w:cs="Arial"/>
          <w:color w:val="000000"/>
          <w:sz w:val="22"/>
          <w:szCs w:val="22"/>
          <w:lang w:val="en-GB"/>
        </w:rPr>
        <w:t xml:space="preserve">The ACD will work collaboratively with ACDs from other PCNs within the STP area, playing a critical role in shaping and supporting the STP, helping to ensure full engagement of primary care in developing and implementing local system plans. </w:t>
      </w:r>
    </w:p>
    <w:p w:rsidR="00755985" w:rsidRPr="00755985" w:rsidRDefault="00755985" w:rsidP="00755985">
      <w:pPr>
        <w:autoSpaceDE w:val="0"/>
        <w:autoSpaceDN w:val="0"/>
        <w:adjustRightInd w:val="0"/>
        <w:rPr>
          <w:rFonts w:eastAsiaTheme="minorHAnsi" w:cs="Arial"/>
          <w:color w:val="000000"/>
          <w:sz w:val="16"/>
          <w:szCs w:val="16"/>
          <w:lang w:val="en-GB"/>
        </w:rPr>
      </w:pPr>
    </w:p>
    <w:p w:rsidR="00755985" w:rsidRPr="00755985" w:rsidRDefault="00755985" w:rsidP="00755985">
      <w:pPr>
        <w:numPr>
          <w:ilvl w:val="0"/>
          <w:numId w:val="48"/>
        </w:numPr>
        <w:spacing w:after="200" w:line="276" w:lineRule="auto"/>
        <w:contextualSpacing/>
        <w:rPr>
          <w:rFonts w:eastAsiaTheme="minorHAnsi"/>
          <w:b/>
          <w:sz w:val="22"/>
          <w:szCs w:val="22"/>
          <w:u w:val="single"/>
          <w:lang w:val="en-GB"/>
        </w:rPr>
      </w:pPr>
      <w:r w:rsidRPr="00755985">
        <w:rPr>
          <w:rFonts w:eastAsiaTheme="minorHAnsi"/>
          <w:b/>
          <w:sz w:val="22"/>
          <w:szCs w:val="22"/>
          <w:u w:val="single"/>
          <w:lang w:val="en-GB"/>
        </w:rPr>
        <w:t xml:space="preserve">Key responsibilities </w:t>
      </w:r>
    </w:p>
    <w:p w:rsidR="00755985" w:rsidRPr="00755985" w:rsidRDefault="00755985" w:rsidP="00755985">
      <w:pPr>
        <w:ind w:left="360"/>
        <w:contextualSpacing/>
        <w:rPr>
          <w:rFonts w:eastAsiaTheme="minorHAnsi"/>
          <w:b/>
          <w:sz w:val="16"/>
          <w:szCs w:val="16"/>
          <w:u w:val="single"/>
          <w:lang w:val="en-GB"/>
        </w:rPr>
      </w:pPr>
    </w:p>
    <w:p w:rsidR="00755985" w:rsidRPr="00755985" w:rsidRDefault="00755985" w:rsidP="00755985">
      <w:pPr>
        <w:numPr>
          <w:ilvl w:val="0"/>
          <w:numId w:val="47"/>
        </w:numPr>
        <w:spacing w:after="140" w:line="276" w:lineRule="auto"/>
        <w:ind w:left="357" w:hanging="357"/>
        <w:contextualSpacing/>
        <w:rPr>
          <w:rFonts w:eastAsiaTheme="minorHAnsi"/>
          <w:sz w:val="22"/>
          <w:szCs w:val="22"/>
          <w:lang w:val="en-GB"/>
        </w:rPr>
      </w:pPr>
      <w:r w:rsidRPr="00755985">
        <w:rPr>
          <w:rFonts w:eastAsiaTheme="minorHAnsi"/>
          <w:sz w:val="22"/>
          <w:szCs w:val="22"/>
          <w:lang w:val="en-GB"/>
        </w:rPr>
        <w:t xml:space="preserve">Provide strategic and clinical leadership to the PCN, developing and implementing strategic plans, leading and supporting quality improvement and performance across member practices. </w:t>
      </w:r>
    </w:p>
    <w:p w:rsidR="00755985" w:rsidRPr="00755985" w:rsidRDefault="00755985" w:rsidP="00755985">
      <w:pPr>
        <w:spacing w:after="140"/>
        <w:ind w:left="357"/>
        <w:contextualSpacing/>
        <w:rPr>
          <w:rFonts w:eastAsiaTheme="minorHAnsi"/>
          <w:sz w:val="22"/>
          <w:szCs w:val="22"/>
          <w:lang w:val="en-GB"/>
        </w:rPr>
      </w:pPr>
    </w:p>
    <w:p w:rsidR="00755985" w:rsidRPr="00755985" w:rsidRDefault="00755985" w:rsidP="00755985">
      <w:pPr>
        <w:numPr>
          <w:ilvl w:val="0"/>
          <w:numId w:val="47"/>
        </w:numPr>
        <w:spacing w:after="140" w:line="276" w:lineRule="auto"/>
        <w:ind w:left="357" w:hanging="357"/>
        <w:contextualSpacing/>
        <w:rPr>
          <w:rFonts w:eastAsiaTheme="minorHAnsi"/>
          <w:sz w:val="22"/>
          <w:szCs w:val="22"/>
          <w:lang w:val="en-GB"/>
        </w:rPr>
      </w:pPr>
      <w:r w:rsidRPr="00755985">
        <w:rPr>
          <w:rFonts w:eastAsiaTheme="minorHAnsi"/>
          <w:sz w:val="22"/>
          <w:szCs w:val="22"/>
          <w:lang w:val="en-GB"/>
        </w:rPr>
        <w:t>Support implementation of agreed service changes and pathways across the PCN.</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color w:val="000000"/>
          <w:sz w:val="22"/>
          <w:szCs w:val="22"/>
          <w:lang w:val="en-GB"/>
        </w:rPr>
      </w:pPr>
      <w:r w:rsidRPr="00755985">
        <w:rPr>
          <w:rFonts w:eastAsiaTheme="minorHAnsi" w:cs="Arial"/>
          <w:color w:val="000000"/>
          <w:sz w:val="22"/>
          <w:szCs w:val="22"/>
          <w:lang w:val="en-GB"/>
        </w:rPr>
        <w:t xml:space="preserve">Work closely with member practices and the commissioner and other networks to develop, support and deliver local improvement programmes aligned to national priorities. </w:t>
      </w:r>
    </w:p>
    <w:p w:rsidR="00755985" w:rsidRPr="00755985" w:rsidRDefault="00755985" w:rsidP="00755985">
      <w:pPr>
        <w:numPr>
          <w:ilvl w:val="0"/>
          <w:numId w:val="47"/>
        </w:numPr>
        <w:spacing w:after="140" w:line="276" w:lineRule="auto"/>
        <w:ind w:left="357" w:hanging="357"/>
        <w:contextualSpacing/>
        <w:rPr>
          <w:rFonts w:eastAsiaTheme="minorHAnsi"/>
          <w:sz w:val="22"/>
          <w:szCs w:val="22"/>
          <w:lang w:val="en-GB"/>
        </w:rPr>
      </w:pPr>
      <w:r w:rsidRPr="00755985">
        <w:rPr>
          <w:rFonts w:eastAsiaTheme="minorHAnsi"/>
          <w:sz w:val="22"/>
          <w:szCs w:val="22"/>
          <w:lang w:val="en-GB"/>
        </w:rPr>
        <w:t xml:space="preserve">Develop local initiatives that enable delivery of the PCN’s agenda by working with commissioners and other networks to meet local needs and ensure comprehensive coordination. </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color w:val="000000"/>
          <w:sz w:val="22"/>
          <w:szCs w:val="22"/>
          <w:lang w:val="en-GB"/>
        </w:rPr>
      </w:pPr>
      <w:r w:rsidRPr="00755985">
        <w:rPr>
          <w:rFonts w:eastAsiaTheme="minorHAnsi" w:cs="Arial"/>
          <w:color w:val="000000"/>
          <w:sz w:val="22"/>
          <w:szCs w:val="22"/>
          <w:lang w:val="en-GB"/>
        </w:rPr>
        <w:t xml:space="preserve">Provide strategic leadership for workforce development, through assessment of clinical skill-mix and development of a PCN workforce strategy. </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color w:val="000000"/>
          <w:sz w:val="22"/>
          <w:szCs w:val="22"/>
          <w:lang w:val="en-GB"/>
        </w:rPr>
      </w:pPr>
      <w:r w:rsidRPr="00755985">
        <w:rPr>
          <w:rFonts w:eastAsiaTheme="minorHAnsi" w:cs="Arial"/>
          <w:sz w:val="22"/>
          <w:szCs w:val="22"/>
          <w:lang w:val="en-GB"/>
        </w:rPr>
        <w:t>Develop relationships and work closely with other ACDs, clinical leaders of other primary care, health and social care providers, local commissioners and LMCs.</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color w:val="000000"/>
          <w:sz w:val="22"/>
          <w:szCs w:val="22"/>
          <w:lang w:val="en-GB"/>
        </w:rPr>
      </w:pPr>
      <w:r w:rsidRPr="00755985">
        <w:rPr>
          <w:rFonts w:eastAsiaTheme="minorHAnsi" w:cs="Arial"/>
          <w:color w:val="000000"/>
          <w:sz w:val="22"/>
          <w:szCs w:val="22"/>
          <w:lang w:val="en-GB"/>
        </w:rPr>
        <w:t xml:space="preserve">Play a key role in helping to ensure full engagement of primary care in developing and implementing local system plans. </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sz w:val="22"/>
          <w:szCs w:val="22"/>
          <w:lang w:val="en-GB"/>
        </w:rPr>
      </w:pPr>
      <w:r w:rsidRPr="00755985">
        <w:rPr>
          <w:rFonts w:eastAsiaTheme="minorHAnsi" w:cs="Arial"/>
          <w:sz w:val="22"/>
          <w:szCs w:val="22"/>
          <w:lang w:val="en-GB"/>
        </w:rPr>
        <w:t xml:space="preserve">Facilitate participation by practices within the PCN in research studies and act as a link between the PCN and local primary care research networks and research institutions. </w:t>
      </w:r>
    </w:p>
    <w:p w:rsidR="00755985" w:rsidRPr="00755985" w:rsidRDefault="00755985" w:rsidP="00755985">
      <w:pPr>
        <w:numPr>
          <w:ilvl w:val="0"/>
          <w:numId w:val="47"/>
        </w:numPr>
        <w:autoSpaceDE w:val="0"/>
        <w:autoSpaceDN w:val="0"/>
        <w:adjustRightInd w:val="0"/>
        <w:spacing w:after="140" w:line="276" w:lineRule="auto"/>
        <w:ind w:left="357" w:hanging="357"/>
        <w:rPr>
          <w:rFonts w:eastAsiaTheme="minorHAnsi" w:cs="Arial"/>
          <w:sz w:val="22"/>
          <w:szCs w:val="22"/>
          <w:lang w:val="en-GB"/>
        </w:rPr>
      </w:pPr>
      <w:r w:rsidRPr="00755985">
        <w:rPr>
          <w:rFonts w:eastAsiaTheme="minorHAnsi" w:cs="Arial"/>
          <w:sz w:val="22"/>
          <w:szCs w:val="22"/>
          <w:lang w:val="en-GB"/>
        </w:rPr>
        <w:t xml:space="preserve">Represent the PCN at CCG-level </w:t>
      </w:r>
      <w:r w:rsidRPr="00755985">
        <w:rPr>
          <w:rFonts w:eastAsiaTheme="minorHAnsi" w:cs="Arial"/>
          <w:color w:val="000000"/>
          <w:sz w:val="22"/>
          <w:szCs w:val="22"/>
          <w:lang w:val="en-GB"/>
        </w:rPr>
        <w:t>and STP-level clinical meetings</w:t>
      </w:r>
      <w:r w:rsidRPr="00755985">
        <w:rPr>
          <w:rFonts w:eastAsiaTheme="minorHAnsi" w:cs="Arial"/>
          <w:sz w:val="22"/>
          <w:szCs w:val="22"/>
          <w:lang w:val="en-GB"/>
        </w:rPr>
        <w:t xml:space="preserve">, contributing to the strategy and wider work of the STP. </w:t>
      </w:r>
    </w:p>
    <w:p w:rsidR="006731FA" w:rsidRPr="00755985" w:rsidRDefault="00755985" w:rsidP="00755985">
      <w:pPr>
        <w:numPr>
          <w:ilvl w:val="0"/>
          <w:numId w:val="47"/>
        </w:numPr>
        <w:autoSpaceDE w:val="0"/>
        <w:autoSpaceDN w:val="0"/>
        <w:adjustRightInd w:val="0"/>
        <w:spacing w:after="200" w:line="276" w:lineRule="auto"/>
        <w:ind w:left="357" w:hanging="357"/>
        <w:rPr>
          <w:rFonts w:eastAsia="Times New Roman" w:cs="Arial"/>
          <w:bCs/>
          <w:iCs/>
          <w:color w:val="333333"/>
          <w:sz w:val="22"/>
          <w:szCs w:val="22"/>
          <w:lang w:val="en-GB" w:eastAsia="en-GB"/>
        </w:rPr>
      </w:pPr>
      <w:r w:rsidRPr="00755985">
        <w:rPr>
          <w:rFonts w:eastAsiaTheme="minorHAnsi" w:cs="Arial"/>
          <w:sz w:val="22"/>
          <w:szCs w:val="22"/>
          <w:lang w:val="en-GB"/>
        </w:rPr>
        <w:t xml:space="preserve">Take a lead role in developing a PCN’s conflict of interest arrangements, taking account of what is in the best interests of the PCN and their patients. </w:t>
      </w:r>
      <w:r w:rsidR="006731FA" w:rsidRPr="00755985">
        <w:rPr>
          <w:rFonts w:eastAsia="Times New Roman" w:cs="Arial"/>
          <w:bCs/>
          <w:iCs/>
          <w:color w:val="333333"/>
          <w:sz w:val="22"/>
          <w:szCs w:val="22"/>
          <w:lang w:val="en-GB" w:eastAsia="en-GB"/>
        </w:rPr>
        <w:br w:type="page"/>
      </w:r>
    </w:p>
    <w:p w:rsidR="006731FA" w:rsidRPr="006731FA" w:rsidRDefault="006731FA" w:rsidP="006731FA">
      <w:pPr>
        <w:spacing w:after="200" w:line="276" w:lineRule="auto"/>
        <w:rPr>
          <w:rFonts w:eastAsiaTheme="minorHAnsi"/>
          <w:b/>
          <w:sz w:val="22"/>
          <w:szCs w:val="22"/>
          <w:u w:val="single"/>
          <w:lang w:val="en-GB"/>
        </w:rPr>
      </w:pPr>
      <w:r w:rsidRPr="006731FA">
        <w:rPr>
          <w:rFonts w:eastAsiaTheme="minorHAnsi"/>
          <w:noProof/>
          <w:sz w:val="22"/>
          <w:szCs w:val="22"/>
          <w:lang w:val="en-GB" w:eastAsia="en-GB"/>
        </w:rPr>
        <w:lastRenderedPageBreak/>
        <w:drawing>
          <wp:anchor distT="0" distB="0" distL="114300" distR="114300" simplePos="0" relativeHeight="251663360" behindDoc="0" locked="0" layoutInCell="1" allowOverlap="1" wp14:anchorId="254AD5AD" wp14:editId="42F40838">
            <wp:simplePos x="0" y="0"/>
            <wp:positionH relativeFrom="column">
              <wp:posOffset>5467350</wp:posOffset>
            </wp:positionH>
            <wp:positionV relativeFrom="paragraph">
              <wp:posOffset>-609600</wp:posOffset>
            </wp:positionV>
            <wp:extent cx="704850" cy="6496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649605"/>
                    </a:xfrm>
                    <a:prstGeom prst="rect">
                      <a:avLst/>
                    </a:prstGeom>
                    <a:noFill/>
                  </pic:spPr>
                </pic:pic>
              </a:graphicData>
            </a:graphic>
            <wp14:sizeRelH relativeFrom="margin">
              <wp14:pctWidth>0</wp14:pctWidth>
            </wp14:sizeRelH>
            <wp14:sizeRelV relativeFrom="margin">
              <wp14:pctHeight>0</wp14:pctHeight>
            </wp14:sizeRelV>
          </wp:anchor>
        </w:drawing>
      </w:r>
      <w:r w:rsidR="00755985">
        <w:rPr>
          <w:rFonts w:eastAsiaTheme="minorHAnsi"/>
          <w:b/>
          <w:sz w:val="22"/>
          <w:szCs w:val="22"/>
          <w:u w:val="single"/>
          <w:lang w:val="en-GB"/>
        </w:rPr>
        <w:t>Appendix 3</w:t>
      </w:r>
      <w:r>
        <w:rPr>
          <w:rFonts w:eastAsiaTheme="minorHAnsi"/>
          <w:b/>
          <w:sz w:val="22"/>
          <w:szCs w:val="22"/>
          <w:u w:val="single"/>
          <w:lang w:val="en-GB"/>
        </w:rPr>
        <w:t xml:space="preserve"> - </w:t>
      </w:r>
      <w:r w:rsidRPr="006731FA">
        <w:rPr>
          <w:rFonts w:eastAsiaTheme="minorHAnsi"/>
          <w:b/>
          <w:sz w:val="22"/>
          <w:szCs w:val="22"/>
          <w:u w:val="single"/>
          <w:lang w:val="en-GB"/>
        </w:rPr>
        <w:t>Proposal to form a Joint Venture with DHU</w:t>
      </w:r>
    </w:p>
    <w:p w:rsidR="006731FA" w:rsidRPr="006731FA" w:rsidRDefault="006731FA" w:rsidP="006731FA">
      <w:pPr>
        <w:numPr>
          <w:ilvl w:val="0"/>
          <w:numId w:val="42"/>
        </w:numPr>
        <w:spacing w:after="200" w:line="276" w:lineRule="auto"/>
        <w:contextualSpacing/>
        <w:rPr>
          <w:rFonts w:eastAsiaTheme="minorHAnsi" w:cs="Arial"/>
          <w:b/>
          <w:sz w:val="22"/>
          <w:szCs w:val="22"/>
          <w:u w:val="single"/>
          <w:lang w:val="en-GB"/>
        </w:rPr>
      </w:pPr>
      <w:r w:rsidRPr="006731FA">
        <w:rPr>
          <w:rFonts w:eastAsiaTheme="minorHAnsi" w:cs="Arial"/>
          <w:b/>
          <w:sz w:val="22"/>
          <w:szCs w:val="22"/>
          <w:u w:val="single"/>
          <w:lang w:val="en-GB"/>
        </w:rPr>
        <w:t>Introduction</w:t>
      </w:r>
    </w:p>
    <w:p w:rsidR="006731FA" w:rsidRPr="006731FA" w:rsidRDefault="006731FA" w:rsidP="006731FA">
      <w:pPr>
        <w:ind w:left="720"/>
        <w:contextualSpacing/>
        <w:jc w:val="both"/>
        <w:rPr>
          <w:rFonts w:eastAsiaTheme="minorHAnsi" w:cs="Arial"/>
          <w:sz w:val="22"/>
          <w:szCs w:val="22"/>
          <w:lang w:val="en-GB"/>
        </w:rPr>
      </w:pPr>
    </w:p>
    <w:p w:rsidR="006731FA" w:rsidRPr="006731FA" w:rsidRDefault="006731FA" w:rsidP="006731FA">
      <w:pPr>
        <w:jc w:val="both"/>
        <w:rPr>
          <w:rFonts w:eastAsiaTheme="minorHAnsi" w:cs="Arial"/>
          <w:sz w:val="22"/>
          <w:szCs w:val="22"/>
          <w:lang w:val="en-GB"/>
        </w:rPr>
      </w:pPr>
      <w:r w:rsidRPr="006731FA">
        <w:rPr>
          <w:rFonts w:eastAsiaTheme="minorHAnsi" w:cs="Arial"/>
          <w:sz w:val="22"/>
          <w:szCs w:val="22"/>
          <w:lang w:val="en-GB"/>
        </w:rPr>
        <w:t>Shareholders will be aware that, in partnership with DHU, ELR GP Federation bid successfully for the contract to manage the ELR Integrated Urgent Care Centres (see configuration below).</w:t>
      </w:r>
    </w:p>
    <w:p w:rsidR="006731FA" w:rsidRPr="006731FA" w:rsidRDefault="006731FA" w:rsidP="006731FA">
      <w:pPr>
        <w:jc w:val="both"/>
        <w:rPr>
          <w:rFonts w:eastAsiaTheme="minorHAnsi" w:cs="Arial"/>
          <w:sz w:val="22"/>
          <w:szCs w:val="22"/>
          <w:lang w:val="en-GB"/>
        </w:rPr>
      </w:pPr>
    </w:p>
    <w:p w:rsidR="006731FA" w:rsidRPr="006731FA" w:rsidRDefault="006731FA" w:rsidP="006731FA">
      <w:pPr>
        <w:jc w:val="both"/>
        <w:rPr>
          <w:rFonts w:eastAsiaTheme="minorHAnsi" w:cs="Arial"/>
          <w:sz w:val="22"/>
          <w:szCs w:val="22"/>
          <w:lang w:val="en-GB"/>
        </w:rPr>
      </w:pPr>
      <w:r w:rsidRPr="006731FA">
        <w:rPr>
          <w:rFonts w:eastAsiaTheme="minorHAnsi"/>
          <w:noProof/>
          <w:sz w:val="22"/>
          <w:szCs w:val="22"/>
          <w:lang w:val="en-GB" w:eastAsia="en-GB"/>
        </w:rPr>
        <w:drawing>
          <wp:inline distT="0" distB="0" distL="0" distR="0" wp14:anchorId="2DF2CFD5" wp14:editId="571BDDFE">
            <wp:extent cx="5731510" cy="1461679"/>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461679"/>
                    </a:xfrm>
                    <a:prstGeom prst="rect">
                      <a:avLst/>
                    </a:prstGeom>
                    <a:noFill/>
                    <a:ln>
                      <a:noFill/>
                    </a:ln>
                  </pic:spPr>
                </pic:pic>
              </a:graphicData>
            </a:graphic>
          </wp:inline>
        </w:drawing>
      </w:r>
    </w:p>
    <w:p w:rsidR="006731FA" w:rsidRPr="006731FA" w:rsidRDefault="006731FA" w:rsidP="006731FA">
      <w:pPr>
        <w:jc w:val="both"/>
        <w:rPr>
          <w:rFonts w:eastAsiaTheme="minorHAnsi" w:cs="Arial"/>
          <w:sz w:val="22"/>
          <w:szCs w:val="22"/>
          <w:lang w:val="en-GB"/>
        </w:rPr>
      </w:pPr>
    </w:p>
    <w:p w:rsidR="006731FA" w:rsidRPr="006731FA" w:rsidRDefault="006731FA" w:rsidP="006731FA">
      <w:pPr>
        <w:jc w:val="both"/>
        <w:rPr>
          <w:rFonts w:eastAsiaTheme="minorHAnsi" w:cs="Arial"/>
          <w:b/>
          <w:sz w:val="22"/>
          <w:szCs w:val="22"/>
          <w:lang w:val="en-GB"/>
        </w:rPr>
      </w:pPr>
      <w:r w:rsidRPr="006731FA">
        <w:rPr>
          <w:rFonts w:eastAsiaTheme="minorHAnsi" w:cs="Arial"/>
          <w:b/>
          <w:sz w:val="22"/>
          <w:szCs w:val="22"/>
          <w:lang w:val="en-GB"/>
        </w:rPr>
        <w:t>The Federation is now in the process of formalising the Joint Venture Agreement with DHU and requires a resolution from Shareholders to establish this agreement, in accordance with the Articles of Association of ELR GP Fed Ltd.</w:t>
      </w:r>
    </w:p>
    <w:p w:rsidR="006731FA" w:rsidRPr="006731FA" w:rsidRDefault="006731FA" w:rsidP="006731FA">
      <w:pPr>
        <w:autoSpaceDE w:val="0"/>
        <w:autoSpaceDN w:val="0"/>
        <w:adjustRightInd w:val="0"/>
        <w:jc w:val="both"/>
        <w:rPr>
          <w:rFonts w:eastAsia="Times New Roman" w:cs="Arial"/>
          <w:sz w:val="22"/>
          <w:szCs w:val="22"/>
          <w:lang w:val="en-GB"/>
        </w:rPr>
      </w:pPr>
    </w:p>
    <w:p w:rsidR="006731FA" w:rsidRPr="006731FA" w:rsidRDefault="006731FA" w:rsidP="006731FA">
      <w:pPr>
        <w:numPr>
          <w:ilvl w:val="0"/>
          <w:numId w:val="42"/>
        </w:numPr>
        <w:spacing w:after="200" w:line="276" w:lineRule="auto"/>
        <w:contextualSpacing/>
        <w:jc w:val="both"/>
        <w:rPr>
          <w:rFonts w:eastAsiaTheme="minorHAnsi" w:cs="Arial"/>
          <w:b/>
          <w:bCs/>
          <w:sz w:val="22"/>
          <w:szCs w:val="22"/>
          <w:u w:val="single"/>
          <w:lang w:val="en-GB"/>
        </w:rPr>
      </w:pPr>
      <w:r w:rsidRPr="006731FA">
        <w:rPr>
          <w:rFonts w:eastAsiaTheme="minorHAnsi" w:cs="Arial"/>
          <w:b/>
          <w:bCs/>
          <w:sz w:val="22"/>
          <w:szCs w:val="22"/>
          <w:u w:val="single"/>
          <w:lang w:val="en-GB"/>
        </w:rPr>
        <w:t>Overview of DHU Health Care CIC</w:t>
      </w:r>
    </w:p>
    <w:p w:rsidR="006731FA" w:rsidRPr="006731FA" w:rsidRDefault="006731FA" w:rsidP="006731FA">
      <w:pPr>
        <w:jc w:val="both"/>
        <w:rPr>
          <w:rFonts w:eastAsiaTheme="minorHAnsi" w:cs="Arial"/>
          <w:b/>
          <w:bCs/>
          <w:sz w:val="22"/>
          <w:szCs w:val="22"/>
          <w:lang w:val="en-GB"/>
        </w:rPr>
      </w:pPr>
    </w:p>
    <w:p w:rsidR="006731FA" w:rsidRPr="006731FA" w:rsidRDefault="006731FA" w:rsidP="006731FA">
      <w:pPr>
        <w:numPr>
          <w:ilvl w:val="0"/>
          <w:numId w:val="41"/>
        </w:numPr>
        <w:spacing w:after="200" w:line="276" w:lineRule="auto"/>
        <w:ind w:left="357" w:hanging="357"/>
        <w:jc w:val="both"/>
        <w:rPr>
          <w:rFonts w:eastAsia="Times New Roman" w:cs="Arial"/>
          <w:sz w:val="22"/>
          <w:szCs w:val="22"/>
          <w:lang w:eastAsia="en-GB"/>
        </w:rPr>
      </w:pPr>
      <w:r w:rsidRPr="006731FA">
        <w:rPr>
          <w:rFonts w:eastAsia="Times New Roman" w:cs="Arial"/>
          <w:sz w:val="22"/>
          <w:szCs w:val="22"/>
          <w:lang w:eastAsia="en-GB"/>
        </w:rPr>
        <w:t xml:space="preserve">DHU Health Care CIC is a social enterprise and a not for profit company, known locally as DHU. </w:t>
      </w:r>
    </w:p>
    <w:p w:rsidR="006731FA" w:rsidRPr="006731FA" w:rsidRDefault="006731FA" w:rsidP="006731FA">
      <w:pPr>
        <w:ind w:left="357"/>
        <w:jc w:val="both"/>
        <w:rPr>
          <w:rFonts w:eastAsia="Times New Roman" w:cs="Arial"/>
          <w:sz w:val="22"/>
          <w:szCs w:val="22"/>
          <w:lang w:eastAsia="en-GB"/>
        </w:rPr>
      </w:pPr>
    </w:p>
    <w:p w:rsidR="006731FA" w:rsidRPr="006731FA" w:rsidRDefault="006731FA" w:rsidP="006731FA">
      <w:pPr>
        <w:numPr>
          <w:ilvl w:val="0"/>
          <w:numId w:val="41"/>
        </w:numPr>
        <w:spacing w:after="200" w:line="276" w:lineRule="auto"/>
        <w:ind w:left="357" w:hanging="357"/>
        <w:jc w:val="both"/>
        <w:rPr>
          <w:rFonts w:eastAsia="Times New Roman" w:cs="Arial"/>
          <w:sz w:val="22"/>
          <w:szCs w:val="22"/>
          <w:lang w:eastAsia="en-GB"/>
        </w:rPr>
      </w:pPr>
      <w:r w:rsidRPr="006731FA">
        <w:rPr>
          <w:rFonts w:eastAsia="Times New Roman" w:cs="Arial"/>
          <w:sz w:val="22"/>
          <w:szCs w:val="22"/>
          <w:lang w:eastAsia="en-GB"/>
        </w:rPr>
        <w:t xml:space="preserve">The company was established in April 2007 as a result of a merger between two Derbyshire based companies that were set up by local general practitioners. DHU is now officially classified as a medium sized </w:t>
      </w:r>
      <w:proofErr w:type="spellStart"/>
      <w:r w:rsidRPr="006731FA">
        <w:rPr>
          <w:rFonts w:eastAsia="Times New Roman" w:cs="Arial"/>
          <w:sz w:val="22"/>
          <w:szCs w:val="22"/>
          <w:lang w:eastAsia="en-GB"/>
        </w:rPr>
        <w:t>organisation</w:t>
      </w:r>
      <w:proofErr w:type="spellEnd"/>
      <w:r w:rsidRPr="006731FA">
        <w:rPr>
          <w:rFonts w:eastAsia="Times New Roman" w:cs="Arial"/>
          <w:sz w:val="22"/>
          <w:szCs w:val="22"/>
          <w:lang w:eastAsia="en-GB"/>
        </w:rPr>
        <w:t xml:space="preserve"> under The Companies Acts definition and are consequently large enough to be operationally robust but small enough to care and to be flexible in meeting commissioners’ requirements.</w:t>
      </w:r>
    </w:p>
    <w:p w:rsidR="006731FA" w:rsidRPr="006731FA" w:rsidRDefault="006731FA" w:rsidP="006731FA">
      <w:pPr>
        <w:ind w:left="357"/>
        <w:jc w:val="both"/>
        <w:rPr>
          <w:rFonts w:eastAsia="Times New Roman" w:cs="Arial"/>
          <w:sz w:val="22"/>
          <w:szCs w:val="22"/>
          <w:lang w:eastAsia="en-GB"/>
        </w:rPr>
      </w:pPr>
    </w:p>
    <w:p w:rsidR="006731FA" w:rsidRPr="006731FA" w:rsidRDefault="006731FA" w:rsidP="006731FA">
      <w:pPr>
        <w:numPr>
          <w:ilvl w:val="0"/>
          <w:numId w:val="41"/>
        </w:numPr>
        <w:spacing w:after="200" w:line="276" w:lineRule="auto"/>
        <w:ind w:left="357" w:hanging="357"/>
        <w:jc w:val="both"/>
        <w:rPr>
          <w:rFonts w:eastAsia="Times New Roman" w:cs="Arial"/>
          <w:sz w:val="22"/>
          <w:szCs w:val="22"/>
          <w:lang w:eastAsia="en-GB"/>
        </w:rPr>
      </w:pPr>
      <w:r w:rsidRPr="006731FA">
        <w:rPr>
          <w:rFonts w:eastAsia="Times New Roman" w:cs="Arial"/>
          <w:sz w:val="22"/>
          <w:szCs w:val="22"/>
          <w:lang w:eastAsia="en-GB"/>
        </w:rPr>
        <w:t xml:space="preserve">DHU secured the contracts for GP </w:t>
      </w:r>
      <w:proofErr w:type="gramStart"/>
      <w:r w:rsidRPr="006731FA">
        <w:rPr>
          <w:rFonts w:eastAsia="Times New Roman" w:cs="Arial"/>
          <w:sz w:val="22"/>
          <w:szCs w:val="22"/>
          <w:lang w:eastAsia="en-GB"/>
        </w:rPr>
        <w:t>Out</w:t>
      </w:r>
      <w:proofErr w:type="gramEnd"/>
      <w:r w:rsidRPr="006731FA">
        <w:rPr>
          <w:rFonts w:eastAsia="Times New Roman" w:cs="Arial"/>
          <w:sz w:val="22"/>
          <w:szCs w:val="22"/>
          <w:lang w:eastAsia="en-GB"/>
        </w:rPr>
        <w:t xml:space="preserve"> of Hours Services for LLR and the Loughborough Urgent Care Centre on 13</w:t>
      </w:r>
      <w:r w:rsidRPr="006731FA">
        <w:rPr>
          <w:rFonts w:eastAsia="Times New Roman" w:cs="Arial"/>
          <w:sz w:val="22"/>
          <w:szCs w:val="22"/>
          <w:vertAlign w:val="superscript"/>
          <w:lang w:eastAsia="en-GB"/>
        </w:rPr>
        <w:t>th</w:t>
      </w:r>
      <w:r w:rsidRPr="006731FA">
        <w:rPr>
          <w:rFonts w:eastAsia="Times New Roman" w:cs="Arial"/>
          <w:sz w:val="22"/>
          <w:szCs w:val="22"/>
          <w:lang w:eastAsia="en-GB"/>
        </w:rPr>
        <w:t xml:space="preserve"> May 2016, stepping in on a caretaking basis following the financial collapse of the previous provider, CNCS. </w:t>
      </w:r>
    </w:p>
    <w:p w:rsidR="006731FA" w:rsidRPr="006731FA" w:rsidRDefault="006731FA" w:rsidP="006731FA">
      <w:pPr>
        <w:ind w:left="357"/>
        <w:jc w:val="both"/>
        <w:rPr>
          <w:rFonts w:eastAsia="Times New Roman" w:cs="Arial"/>
          <w:sz w:val="22"/>
          <w:szCs w:val="22"/>
          <w:lang w:eastAsia="en-GB"/>
        </w:rPr>
      </w:pPr>
    </w:p>
    <w:p w:rsidR="006731FA" w:rsidRPr="006731FA" w:rsidRDefault="006731FA" w:rsidP="006731FA">
      <w:pPr>
        <w:numPr>
          <w:ilvl w:val="0"/>
          <w:numId w:val="41"/>
        </w:numPr>
        <w:spacing w:after="200" w:line="276" w:lineRule="auto"/>
        <w:ind w:left="357" w:hanging="357"/>
        <w:jc w:val="both"/>
        <w:rPr>
          <w:rFonts w:eastAsia="Times New Roman" w:cs="Arial"/>
          <w:sz w:val="22"/>
          <w:szCs w:val="22"/>
          <w:lang w:val="en-GB" w:eastAsia="en-GB"/>
        </w:rPr>
      </w:pPr>
      <w:r w:rsidRPr="006731FA">
        <w:rPr>
          <w:rFonts w:eastAsia="Times New Roman" w:cs="Arial"/>
          <w:sz w:val="22"/>
          <w:szCs w:val="22"/>
          <w:lang w:val="en-GB" w:eastAsia="en-GB"/>
        </w:rPr>
        <w:t xml:space="preserve">In </w:t>
      </w:r>
      <w:proofErr w:type="gramStart"/>
      <w:r w:rsidRPr="006731FA">
        <w:rPr>
          <w:rFonts w:eastAsia="Times New Roman" w:cs="Arial"/>
          <w:sz w:val="22"/>
          <w:szCs w:val="22"/>
          <w:lang w:val="en-GB" w:eastAsia="en-GB"/>
        </w:rPr>
        <w:t>Autumn</w:t>
      </w:r>
      <w:proofErr w:type="gramEnd"/>
      <w:r w:rsidRPr="006731FA">
        <w:rPr>
          <w:rFonts w:eastAsia="Times New Roman" w:cs="Arial"/>
          <w:sz w:val="22"/>
          <w:szCs w:val="22"/>
          <w:lang w:val="en-GB" w:eastAsia="en-GB"/>
        </w:rPr>
        <w:t xml:space="preserve"> 2016, the process for re-procurement of the new service models for urgent care commenced. DHU Health Care CIC has secured the first two contracts that were let by competitive tender.   This includes;</w:t>
      </w:r>
    </w:p>
    <w:p w:rsidR="006731FA" w:rsidRPr="006731FA" w:rsidRDefault="006731FA" w:rsidP="006731FA">
      <w:pPr>
        <w:ind w:left="357"/>
        <w:jc w:val="both"/>
        <w:rPr>
          <w:rFonts w:eastAsia="Times New Roman" w:cs="Arial"/>
          <w:sz w:val="22"/>
          <w:szCs w:val="22"/>
          <w:lang w:val="en-GB" w:eastAsia="en-GB"/>
        </w:rPr>
      </w:pPr>
    </w:p>
    <w:p w:rsidR="006731FA" w:rsidRPr="006731FA" w:rsidRDefault="006731FA" w:rsidP="006731FA">
      <w:pPr>
        <w:numPr>
          <w:ilvl w:val="0"/>
          <w:numId w:val="38"/>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Integrated Primary and Community Urgent Care Service in West Leicestershire in partnership with 4FED (the combined West Leicestershire GP Federations) </w:t>
      </w:r>
    </w:p>
    <w:p w:rsidR="006731FA" w:rsidRPr="006731FA" w:rsidRDefault="006731FA" w:rsidP="006731FA">
      <w:pPr>
        <w:numPr>
          <w:ilvl w:val="0"/>
          <w:numId w:val="38"/>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LLR Urgent Care Home Visiting Service which is a 24 hour a day, 7 day a week service spanning a population of 1.1 million </w:t>
      </w:r>
    </w:p>
    <w:p w:rsidR="006731FA" w:rsidRPr="006731FA" w:rsidRDefault="006731FA" w:rsidP="006731FA">
      <w:pPr>
        <w:spacing w:line="276" w:lineRule="auto"/>
        <w:ind w:left="720"/>
        <w:contextualSpacing/>
        <w:jc w:val="both"/>
        <w:rPr>
          <w:rFonts w:eastAsiaTheme="minorHAnsi" w:cs="Arial"/>
          <w:sz w:val="22"/>
          <w:szCs w:val="22"/>
          <w:lang w:val="en-GB"/>
        </w:rPr>
      </w:pPr>
    </w:p>
    <w:p w:rsidR="006731FA" w:rsidRPr="006731FA" w:rsidRDefault="006731FA" w:rsidP="006731FA">
      <w:pPr>
        <w:numPr>
          <w:ilvl w:val="0"/>
          <w:numId w:val="41"/>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In addition DHU is continuing to provide Out of Hours services to East Leicestershire and Leicester Royal Infirmary, pending re-letting of the primary and urgent care contracts for East </w:t>
      </w:r>
      <w:r w:rsidRPr="006731FA">
        <w:rPr>
          <w:rFonts w:eastAsiaTheme="minorHAnsi" w:cs="Arial"/>
          <w:sz w:val="22"/>
          <w:szCs w:val="22"/>
          <w:lang w:val="en-GB"/>
        </w:rPr>
        <w:lastRenderedPageBreak/>
        <w:t xml:space="preserve">Leicestershire, the City Hubs and the LRI Front Door and is continuing to provide and develop the Clinical Navigation Hub. </w:t>
      </w:r>
    </w:p>
    <w:p w:rsidR="006731FA" w:rsidRPr="006731FA" w:rsidRDefault="006731FA" w:rsidP="006731FA">
      <w:pPr>
        <w:jc w:val="both"/>
        <w:rPr>
          <w:rFonts w:eastAsiaTheme="minorHAnsi" w:cs="Arial"/>
          <w:sz w:val="22"/>
          <w:szCs w:val="22"/>
          <w:lang w:val="en-GB"/>
        </w:rPr>
      </w:pPr>
    </w:p>
    <w:p w:rsidR="006731FA" w:rsidRPr="006731FA" w:rsidRDefault="006731FA" w:rsidP="006731FA">
      <w:pPr>
        <w:numPr>
          <w:ilvl w:val="0"/>
          <w:numId w:val="41"/>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DHU’s ambition was to provide urgent care services across LLR recognising both the clinical benefits and economies of scale that a single provider can bring to LLR by managing capacity and demand across the patch in partnership with local GPs and their Federations. </w:t>
      </w:r>
    </w:p>
    <w:p w:rsidR="006731FA" w:rsidRPr="006731FA" w:rsidRDefault="006731FA" w:rsidP="006731FA">
      <w:pPr>
        <w:jc w:val="both"/>
        <w:rPr>
          <w:rFonts w:eastAsiaTheme="minorHAnsi" w:cs="Arial"/>
          <w:sz w:val="22"/>
          <w:szCs w:val="22"/>
          <w:lang w:val="en-GB"/>
        </w:rPr>
      </w:pPr>
    </w:p>
    <w:p w:rsidR="006731FA" w:rsidRPr="006731FA" w:rsidRDefault="006731FA" w:rsidP="006731FA">
      <w:pPr>
        <w:numPr>
          <w:ilvl w:val="0"/>
          <w:numId w:val="41"/>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DHU have invested heavily in LLR with the creation of an LLR Divisional Management and Governance Structure which includes an independent  Chair, Managing Director, Clinical Director, senior operational and clinical leads along with dedicate support staff. The current structure has been developed to support further expansion. </w:t>
      </w:r>
    </w:p>
    <w:p w:rsidR="006731FA" w:rsidRPr="006731FA" w:rsidRDefault="006731FA" w:rsidP="006731FA">
      <w:pPr>
        <w:jc w:val="both"/>
        <w:rPr>
          <w:rFonts w:eastAsiaTheme="minorHAnsi" w:cs="Arial"/>
          <w:sz w:val="22"/>
          <w:szCs w:val="22"/>
          <w:lang w:val="en-GB"/>
        </w:rPr>
      </w:pPr>
    </w:p>
    <w:p w:rsidR="006731FA" w:rsidRPr="006731FA" w:rsidRDefault="006731FA" w:rsidP="006731FA">
      <w:pPr>
        <w:widowControl w:val="0"/>
        <w:numPr>
          <w:ilvl w:val="0"/>
          <w:numId w:val="42"/>
        </w:numPr>
        <w:autoSpaceDE w:val="0"/>
        <w:autoSpaceDN w:val="0"/>
        <w:adjustRightInd w:val="0"/>
        <w:spacing w:after="200" w:line="276" w:lineRule="auto"/>
        <w:contextualSpacing/>
        <w:jc w:val="both"/>
        <w:rPr>
          <w:rFonts w:eastAsiaTheme="minorHAnsi" w:cs="Arial"/>
          <w:b/>
          <w:bCs/>
          <w:sz w:val="22"/>
          <w:szCs w:val="22"/>
          <w:u w:val="single"/>
        </w:rPr>
      </w:pPr>
      <w:r w:rsidRPr="006731FA">
        <w:rPr>
          <w:rFonts w:eastAsiaTheme="minorHAnsi" w:cs="Arial"/>
          <w:b/>
          <w:bCs/>
          <w:sz w:val="22"/>
          <w:szCs w:val="22"/>
          <w:u w:val="single"/>
        </w:rPr>
        <w:t xml:space="preserve">Benefits of partnering with DHU Health Care CIC </w:t>
      </w:r>
    </w:p>
    <w:p w:rsidR="006731FA" w:rsidRPr="006731FA" w:rsidRDefault="006731FA" w:rsidP="006731FA">
      <w:pPr>
        <w:widowControl w:val="0"/>
        <w:autoSpaceDE w:val="0"/>
        <w:autoSpaceDN w:val="0"/>
        <w:adjustRightInd w:val="0"/>
        <w:jc w:val="both"/>
        <w:rPr>
          <w:rFonts w:eastAsiaTheme="minorHAnsi" w:cs="Arial"/>
          <w:sz w:val="22"/>
          <w:szCs w:val="22"/>
        </w:rPr>
      </w:pPr>
    </w:p>
    <w:p w:rsidR="006731FA" w:rsidRPr="006731FA" w:rsidRDefault="006731FA" w:rsidP="006731FA">
      <w:pPr>
        <w:widowControl w:val="0"/>
        <w:numPr>
          <w:ilvl w:val="0"/>
          <w:numId w:val="43"/>
        </w:numPr>
        <w:autoSpaceDE w:val="0"/>
        <w:autoSpaceDN w:val="0"/>
        <w:adjustRightInd w:val="0"/>
        <w:spacing w:after="200" w:line="276" w:lineRule="auto"/>
        <w:contextualSpacing/>
        <w:jc w:val="both"/>
        <w:rPr>
          <w:rFonts w:eastAsiaTheme="minorHAnsi" w:cs="Arial"/>
          <w:sz w:val="22"/>
          <w:szCs w:val="22"/>
        </w:rPr>
      </w:pPr>
      <w:r w:rsidRPr="006731FA">
        <w:rPr>
          <w:rFonts w:eastAsiaTheme="minorHAnsi" w:cs="Arial"/>
          <w:b/>
          <w:sz w:val="22"/>
          <w:szCs w:val="22"/>
        </w:rPr>
        <w:t xml:space="preserve">Tender </w:t>
      </w:r>
      <w:proofErr w:type="gramStart"/>
      <w:r w:rsidRPr="006731FA">
        <w:rPr>
          <w:rFonts w:eastAsiaTheme="minorHAnsi" w:cs="Arial"/>
          <w:b/>
          <w:sz w:val="22"/>
          <w:szCs w:val="22"/>
        </w:rPr>
        <w:t>Process</w:t>
      </w:r>
      <w:r w:rsidRPr="006731FA">
        <w:rPr>
          <w:rFonts w:eastAsiaTheme="minorHAnsi" w:cs="Arial"/>
          <w:sz w:val="22"/>
          <w:szCs w:val="22"/>
        </w:rPr>
        <w:t xml:space="preserve">  -</w:t>
      </w:r>
      <w:proofErr w:type="gramEnd"/>
      <w:r w:rsidRPr="006731FA">
        <w:rPr>
          <w:rFonts w:eastAsiaTheme="minorHAnsi" w:cs="Arial"/>
          <w:sz w:val="22"/>
          <w:szCs w:val="22"/>
        </w:rPr>
        <w:t xml:space="preserve"> </w:t>
      </w:r>
      <w:r w:rsidRPr="006731FA">
        <w:rPr>
          <w:rFonts w:eastAsiaTheme="minorHAnsi" w:cs="Arial"/>
          <w:sz w:val="22"/>
          <w:szCs w:val="22"/>
          <w:lang w:val="en-GB"/>
        </w:rPr>
        <w:t xml:space="preserve">ELR Federation would not have qualified to bid alone due to limited trading history and track record of mobilisation and delivery of large services.  A Dun &amp; Bradstreet score, which is based on financial strength (such as tangible net worth based on financial accounts) and risk indicators (such as minimum data to identify trading </w:t>
      </w:r>
      <w:proofErr w:type="gramStart"/>
      <w:r w:rsidRPr="006731FA">
        <w:rPr>
          <w:rFonts w:eastAsiaTheme="minorHAnsi" w:cs="Arial"/>
          <w:sz w:val="22"/>
          <w:szCs w:val="22"/>
          <w:lang w:val="en-GB"/>
        </w:rPr>
        <w:t>activity)</w:t>
      </w:r>
      <w:proofErr w:type="gramEnd"/>
      <w:r w:rsidRPr="006731FA">
        <w:rPr>
          <w:rFonts w:eastAsiaTheme="minorHAnsi" w:cs="Arial"/>
          <w:sz w:val="22"/>
          <w:szCs w:val="22"/>
          <w:lang w:val="en-GB"/>
        </w:rPr>
        <w:t xml:space="preserve"> is generally undertaken.</w:t>
      </w:r>
    </w:p>
    <w:p w:rsidR="006731FA" w:rsidRPr="006731FA" w:rsidRDefault="006731FA" w:rsidP="006731FA">
      <w:pPr>
        <w:ind w:left="360"/>
        <w:jc w:val="both"/>
        <w:rPr>
          <w:rFonts w:eastAsiaTheme="minorHAnsi" w:cs="Arial"/>
          <w:sz w:val="22"/>
          <w:szCs w:val="22"/>
          <w:lang w:val="en-GB"/>
        </w:rPr>
      </w:pPr>
    </w:p>
    <w:p w:rsidR="006731FA" w:rsidRPr="006731FA" w:rsidRDefault="006731FA" w:rsidP="006731FA">
      <w:pPr>
        <w:widowControl w:val="0"/>
        <w:autoSpaceDE w:val="0"/>
        <w:autoSpaceDN w:val="0"/>
        <w:adjustRightInd w:val="0"/>
        <w:spacing w:after="240"/>
        <w:ind w:left="360"/>
        <w:jc w:val="both"/>
        <w:rPr>
          <w:rFonts w:eastAsiaTheme="minorHAnsi" w:cs="Arial"/>
          <w:sz w:val="22"/>
          <w:szCs w:val="22"/>
          <w:lang w:val="en-GB"/>
        </w:rPr>
      </w:pPr>
      <w:r w:rsidRPr="006731FA">
        <w:rPr>
          <w:rFonts w:eastAsiaTheme="minorHAnsi" w:cs="Arial"/>
          <w:sz w:val="22"/>
          <w:szCs w:val="22"/>
          <w:lang w:val="en-GB"/>
        </w:rPr>
        <w:t>DHU Health Care CIC has significant trading history, having traded for the last 10 years, achieving profitable growth which has enabled it to invest, as a social enterprise, its surplus in expansion.</w:t>
      </w:r>
    </w:p>
    <w:p w:rsidR="006731FA" w:rsidRPr="006731FA" w:rsidRDefault="006731FA" w:rsidP="006731FA">
      <w:pPr>
        <w:widowControl w:val="0"/>
        <w:autoSpaceDE w:val="0"/>
        <w:autoSpaceDN w:val="0"/>
        <w:adjustRightInd w:val="0"/>
        <w:ind w:left="360"/>
        <w:contextualSpacing/>
        <w:jc w:val="both"/>
        <w:rPr>
          <w:rFonts w:eastAsiaTheme="minorHAnsi" w:cs="Arial"/>
          <w:sz w:val="22"/>
          <w:szCs w:val="22"/>
        </w:rPr>
      </w:pPr>
      <w:r w:rsidRPr="006731FA">
        <w:rPr>
          <w:rFonts w:eastAsiaTheme="minorHAnsi" w:cs="Arial"/>
          <w:sz w:val="22"/>
          <w:szCs w:val="22"/>
        </w:rPr>
        <w:t xml:space="preserve">The process of submitting a tender is complex, time consuming and requires significant investment in both time and money.  Bidders are required to pass a preliminary compliance review, evaluation of qualification and an evaluation of a technical envelop. </w:t>
      </w:r>
    </w:p>
    <w:p w:rsidR="006731FA" w:rsidRPr="006731FA" w:rsidRDefault="006731FA" w:rsidP="006731FA">
      <w:pPr>
        <w:widowControl w:val="0"/>
        <w:autoSpaceDE w:val="0"/>
        <w:autoSpaceDN w:val="0"/>
        <w:adjustRightInd w:val="0"/>
        <w:ind w:left="360"/>
        <w:contextualSpacing/>
        <w:jc w:val="both"/>
        <w:rPr>
          <w:rFonts w:eastAsiaTheme="minorHAnsi" w:cs="Arial"/>
          <w:sz w:val="22"/>
          <w:szCs w:val="22"/>
        </w:rPr>
      </w:pPr>
    </w:p>
    <w:p w:rsidR="006731FA" w:rsidRPr="006731FA" w:rsidRDefault="006731FA" w:rsidP="006731FA">
      <w:pPr>
        <w:numPr>
          <w:ilvl w:val="0"/>
          <w:numId w:val="43"/>
        </w:numPr>
        <w:spacing w:after="200" w:line="276" w:lineRule="auto"/>
        <w:contextualSpacing/>
        <w:jc w:val="both"/>
        <w:rPr>
          <w:rFonts w:eastAsiaTheme="minorHAnsi" w:cs="Arial"/>
          <w:sz w:val="22"/>
          <w:szCs w:val="22"/>
          <w:lang w:val="en-GB"/>
        </w:rPr>
      </w:pPr>
      <w:r w:rsidRPr="006731FA">
        <w:rPr>
          <w:rFonts w:eastAsiaTheme="minorHAnsi" w:cs="Arial"/>
          <w:b/>
          <w:sz w:val="22"/>
          <w:szCs w:val="22"/>
          <w:lang w:val="en-GB"/>
        </w:rPr>
        <w:t xml:space="preserve">Capacity and </w:t>
      </w:r>
      <w:proofErr w:type="gramStart"/>
      <w:r w:rsidRPr="006731FA">
        <w:rPr>
          <w:rFonts w:eastAsiaTheme="minorHAnsi" w:cs="Arial"/>
          <w:b/>
          <w:sz w:val="22"/>
          <w:szCs w:val="22"/>
          <w:lang w:val="en-GB"/>
        </w:rPr>
        <w:t>Capability</w:t>
      </w:r>
      <w:r w:rsidRPr="006731FA">
        <w:rPr>
          <w:rFonts w:eastAsiaTheme="minorHAnsi" w:cs="Arial"/>
          <w:sz w:val="22"/>
          <w:szCs w:val="22"/>
          <w:lang w:val="en-GB"/>
        </w:rPr>
        <w:t xml:space="preserve">  -</w:t>
      </w:r>
      <w:proofErr w:type="gramEnd"/>
      <w:r w:rsidRPr="006731FA">
        <w:rPr>
          <w:rFonts w:eastAsiaTheme="minorHAnsi" w:cs="Arial"/>
          <w:sz w:val="22"/>
          <w:szCs w:val="22"/>
          <w:lang w:val="en-GB"/>
        </w:rPr>
        <w:t xml:space="preserve"> DHU has capacity and capability to invest in a large competitive tender with dedicated programme management, service model development, bid writing, financial modelling through to mobilisation of new contract. Furthermore it can deliver a commercially viable bid by delivering greater efficiencies for commissioners operating at scale, in partnership and where mutually beneficial. </w:t>
      </w:r>
    </w:p>
    <w:p w:rsidR="006731FA" w:rsidRPr="006731FA" w:rsidRDefault="006731FA" w:rsidP="006731FA">
      <w:pPr>
        <w:ind w:left="360"/>
        <w:jc w:val="both"/>
        <w:rPr>
          <w:rFonts w:eastAsiaTheme="minorHAnsi" w:cs="Arial"/>
          <w:sz w:val="22"/>
          <w:szCs w:val="22"/>
          <w:lang w:val="en-GB"/>
        </w:rPr>
      </w:pPr>
    </w:p>
    <w:p w:rsidR="006731FA" w:rsidRPr="006731FA" w:rsidRDefault="006731FA" w:rsidP="006731FA">
      <w:pPr>
        <w:numPr>
          <w:ilvl w:val="0"/>
          <w:numId w:val="43"/>
        </w:numPr>
        <w:spacing w:after="200" w:line="276" w:lineRule="auto"/>
        <w:contextualSpacing/>
        <w:jc w:val="both"/>
        <w:rPr>
          <w:rFonts w:eastAsiaTheme="minorHAnsi" w:cs="Arial"/>
          <w:sz w:val="22"/>
          <w:szCs w:val="22"/>
          <w:lang w:val="en-GB"/>
        </w:rPr>
      </w:pPr>
      <w:r w:rsidRPr="006731FA">
        <w:rPr>
          <w:rFonts w:eastAsiaTheme="minorHAnsi" w:cs="Arial"/>
          <w:b/>
          <w:sz w:val="22"/>
          <w:szCs w:val="22"/>
          <w:lang w:val="en-GB"/>
        </w:rPr>
        <w:t>Set up</w:t>
      </w:r>
      <w:r w:rsidRPr="006731FA">
        <w:rPr>
          <w:rFonts w:eastAsiaTheme="minorHAnsi" w:cs="Arial"/>
          <w:sz w:val="22"/>
          <w:szCs w:val="22"/>
          <w:lang w:val="en-GB"/>
        </w:rPr>
        <w:t xml:space="preserve"> – DHU can provide the working capital / early stage funding requirements for pay roll costs, overheads and back office infrastructure such as payroll, governance and financial accounting </w:t>
      </w:r>
    </w:p>
    <w:p w:rsidR="006731FA" w:rsidRPr="006731FA" w:rsidRDefault="006731FA" w:rsidP="006731FA">
      <w:pPr>
        <w:jc w:val="both"/>
        <w:rPr>
          <w:rFonts w:eastAsiaTheme="minorHAnsi" w:cs="Arial"/>
          <w:sz w:val="22"/>
          <w:szCs w:val="22"/>
          <w:lang w:val="en-GB"/>
        </w:rPr>
      </w:pPr>
    </w:p>
    <w:p w:rsidR="006731FA" w:rsidRPr="006731FA" w:rsidRDefault="006731FA" w:rsidP="006731FA">
      <w:pPr>
        <w:numPr>
          <w:ilvl w:val="0"/>
          <w:numId w:val="43"/>
        </w:numPr>
        <w:spacing w:after="200" w:line="276" w:lineRule="auto"/>
        <w:contextualSpacing/>
        <w:jc w:val="both"/>
        <w:rPr>
          <w:rFonts w:eastAsiaTheme="minorHAnsi" w:cs="Arial"/>
          <w:sz w:val="22"/>
          <w:szCs w:val="22"/>
          <w:lang w:val="en-GB"/>
        </w:rPr>
      </w:pPr>
      <w:r w:rsidRPr="006731FA">
        <w:rPr>
          <w:rFonts w:eastAsiaTheme="minorHAnsi" w:cs="Arial"/>
          <w:b/>
          <w:sz w:val="22"/>
          <w:szCs w:val="22"/>
          <w:lang w:val="en-GB"/>
        </w:rPr>
        <w:t xml:space="preserve">Reputation and Track </w:t>
      </w:r>
      <w:proofErr w:type="gramStart"/>
      <w:r w:rsidRPr="006731FA">
        <w:rPr>
          <w:rFonts w:eastAsiaTheme="minorHAnsi" w:cs="Arial"/>
          <w:b/>
          <w:sz w:val="22"/>
          <w:szCs w:val="22"/>
          <w:lang w:val="en-GB"/>
        </w:rPr>
        <w:t>record</w:t>
      </w:r>
      <w:r w:rsidRPr="006731FA">
        <w:rPr>
          <w:rFonts w:eastAsiaTheme="minorHAnsi" w:cs="Arial"/>
          <w:sz w:val="22"/>
          <w:szCs w:val="22"/>
          <w:lang w:val="en-GB"/>
        </w:rPr>
        <w:t xml:space="preserve">  -</w:t>
      </w:r>
      <w:proofErr w:type="gramEnd"/>
      <w:r w:rsidRPr="006731FA">
        <w:rPr>
          <w:rFonts w:eastAsiaTheme="minorHAnsi" w:cs="Arial"/>
          <w:sz w:val="22"/>
          <w:szCs w:val="22"/>
          <w:lang w:val="en-GB"/>
        </w:rPr>
        <w:t xml:space="preserve"> DHU has a good local reputation and track record of delivery. In addition to mobilising NHS 111 contracts and the recent LLR contracts, DHU have continued to develop the Clinical Navigation Hub and has provided additional support to UHL front door due to staffing difficulties in LRI and the City Hubs. </w:t>
      </w:r>
    </w:p>
    <w:p w:rsidR="006731FA" w:rsidRPr="006731FA" w:rsidRDefault="006731FA" w:rsidP="006731FA">
      <w:pPr>
        <w:jc w:val="both"/>
        <w:rPr>
          <w:rFonts w:eastAsiaTheme="minorHAnsi" w:cs="Arial"/>
          <w:sz w:val="22"/>
          <w:szCs w:val="22"/>
          <w:lang w:val="en-GB"/>
        </w:rPr>
      </w:pPr>
    </w:p>
    <w:p w:rsidR="006731FA" w:rsidRPr="006731FA" w:rsidRDefault="006731FA" w:rsidP="006731FA">
      <w:pPr>
        <w:numPr>
          <w:ilvl w:val="0"/>
          <w:numId w:val="43"/>
        </w:numPr>
        <w:spacing w:after="200" w:line="276" w:lineRule="auto"/>
        <w:contextualSpacing/>
        <w:jc w:val="both"/>
        <w:rPr>
          <w:rFonts w:eastAsiaTheme="minorHAnsi" w:cs="Arial"/>
          <w:b/>
          <w:sz w:val="22"/>
          <w:szCs w:val="22"/>
          <w:lang w:val="en-GB"/>
        </w:rPr>
      </w:pPr>
      <w:r w:rsidRPr="006731FA">
        <w:rPr>
          <w:rFonts w:eastAsiaTheme="minorHAnsi" w:cs="Arial"/>
          <w:b/>
          <w:sz w:val="22"/>
          <w:szCs w:val="22"/>
          <w:lang w:val="en-GB"/>
        </w:rPr>
        <w:t>Arrangements with 4FED</w:t>
      </w:r>
      <w:r w:rsidRPr="006731FA">
        <w:rPr>
          <w:rFonts w:eastAsiaTheme="minorHAnsi" w:cs="Arial"/>
          <w:sz w:val="22"/>
          <w:szCs w:val="22"/>
          <w:lang w:val="en-GB"/>
        </w:rPr>
        <w:t xml:space="preserve"> - DHU has an existing joint venture for the delivery of West Leicestershire Integrated Primary and Urgent Care services in conjunction with 4 FED, (the combined West Leicestershire Federations). </w:t>
      </w:r>
    </w:p>
    <w:p w:rsidR="006731FA" w:rsidRPr="006731FA" w:rsidRDefault="006731FA" w:rsidP="006731FA">
      <w:pPr>
        <w:spacing w:after="200" w:line="276" w:lineRule="auto"/>
        <w:ind w:left="720"/>
        <w:contextualSpacing/>
        <w:rPr>
          <w:rFonts w:eastAsiaTheme="minorHAnsi" w:cs="Arial"/>
          <w:b/>
          <w:sz w:val="22"/>
          <w:szCs w:val="22"/>
          <w:lang w:val="en-GB"/>
        </w:rPr>
      </w:pPr>
    </w:p>
    <w:p w:rsidR="006731FA" w:rsidRPr="006731FA" w:rsidRDefault="006731FA" w:rsidP="006731FA">
      <w:pPr>
        <w:numPr>
          <w:ilvl w:val="0"/>
          <w:numId w:val="43"/>
        </w:numPr>
        <w:spacing w:after="200" w:line="276" w:lineRule="auto"/>
        <w:contextualSpacing/>
        <w:jc w:val="both"/>
        <w:rPr>
          <w:rFonts w:eastAsiaTheme="minorHAnsi" w:cs="Arial"/>
          <w:b/>
          <w:sz w:val="22"/>
          <w:szCs w:val="22"/>
          <w:lang w:val="en-GB"/>
        </w:rPr>
      </w:pPr>
      <w:r w:rsidRPr="006731FA">
        <w:rPr>
          <w:rFonts w:eastAsiaTheme="minorHAnsi" w:cs="Arial"/>
          <w:b/>
          <w:sz w:val="22"/>
          <w:szCs w:val="22"/>
          <w:lang w:val="en-GB"/>
        </w:rPr>
        <w:t xml:space="preserve">Future opportunities – </w:t>
      </w:r>
      <w:r w:rsidRPr="006731FA">
        <w:rPr>
          <w:rFonts w:eastAsiaTheme="minorHAnsi" w:cs="Arial"/>
          <w:sz w:val="22"/>
          <w:szCs w:val="22"/>
          <w:lang w:val="en-GB"/>
        </w:rPr>
        <w:t>the creation of a Joint Venture with DHU will provide a vehicle that could bid for future opportunities.</w:t>
      </w:r>
    </w:p>
    <w:p w:rsidR="006731FA" w:rsidRPr="006731FA" w:rsidRDefault="006731FA" w:rsidP="006731FA">
      <w:pPr>
        <w:numPr>
          <w:ilvl w:val="0"/>
          <w:numId w:val="42"/>
        </w:numPr>
        <w:autoSpaceDE w:val="0"/>
        <w:autoSpaceDN w:val="0"/>
        <w:adjustRightInd w:val="0"/>
        <w:spacing w:after="200" w:line="276" w:lineRule="auto"/>
        <w:contextualSpacing/>
        <w:jc w:val="both"/>
        <w:rPr>
          <w:rFonts w:eastAsia="Times New Roman" w:cs="Arial"/>
          <w:b/>
          <w:sz w:val="22"/>
          <w:szCs w:val="22"/>
          <w:u w:val="single"/>
          <w:lang w:val="en-GB"/>
        </w:rPr>
      </w:pPr>
      <w:r w:rsidRPr="006731FA">
        <w:rPr>
          <w:rFonts w:eastAsiaTheme="minorHAnsi" w:cs="Arial"/>
          <w:b/>
          <w:sz w:val="22"/>
          <w:szCs w:val="22"/>
          <w:u w:val="single"/>
          <w:lang w:val="en-GB"/>
        </w:rPr>
        <w:t>Basis of Proposed Agreement with ELR GP Federation</w:t>
      </w:r>
    </w:p>
    <w:p w:rsidR="006731FA" w:rsidRPr="006731FA" w:rsidRDefault="006731FA" w:rsidP="006731FA">
      <w:pPr>
        <w:autoSpaceDE w:val="0"/>
        <w:autoSpaceDN w:val="0"/>
        <w:adjustRightInd w:val="0"/>
        <w:jc w:val="both"/>
        <w:rPr>
          <w:rFonts w:eastAsia="Times New Roman" w:cs="Arial"/>
          <w:iCs/>
          <w:sz w:val="22"/>
          <w:szCs w:val="22"/>
          <w:lang w:val="en-GB"/>
        </w:rPr>
      </w:pPr>
    </w:p>
    <w:p w:rsidR="006731FA" w:rsidRPr="006731FA" w:rsidRDefault="006731FA" w:rsidP="006731FA">
      <w:p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It is proposed that the Joint Venture be structured in the following way from an organisational lead and delivery perspective:</w:t>
      </w:r>
    </w:p>
    <w:p w:rsidR="006731FA" w:rsidRPr="006731FA" w:rsidRDefault="006731FA" w:rsidP="006731FA">
      <w:pPr>
        <w:spacing w:after="200" w:line="276" w:lineRule="auto"/>
        <w:ind w:left="360"/>
        <w:contextualSpacing/>
        <w:jc w:val="both"/>
        <w:rPr>
          <w:rFonts w:eastAsiaTheme="minorHAnsi" w:cs="Arial"/>
          <w:sz w:val="22"/>
          <w:szCs w:val="22"/>
          <w:lang w:val="en-GB"/>
        </w:rPr>
      </w:pPr>
    </w:p>
    <w:p w:rsidR="006731FA" w:rsidRPr="006731FA" w:rsidRDefault="006731FA" w:rsidP="006731FA">
      <w:pPr>
        <w:numPr>
          <w:ilvl w:val="0"/>
          <w:numId w:val="44"/>
        </w:numPr>
        <w:spacing w:after="200" w:line="276" w:lineRule="auto"/>
        <w:contextualSpacing/>
        <w:jc w:val="both"/>
        <w:rPr>
          <w:rFonts w:eastAsiaTheme="minorHAnsi" w:cs="Arial"/>
          <w:b/>
          <w:sz w:val="22"/>
          <w:szCs w:val="22"/>
          <w:lang w:val="en-GB"/>
        </w:rPr>
      </w:pPr>
      <w:r w:rsidRPr="006731FA">
        <w:rPr>
          <w:rFonts w:eastAsiaTheme="minorHAnsi" w:cs="Arial"/>
          <w:b/>
          <w:sz w:val="22"/>
          <w:szCs w:val="22"/>
          <w:lang w:val="en-GB"/>
        </w:rPr>
        <w:t>DHU expertise with in the Joint Venture:</w:t>
      </w:r>
    </w:p>
    <w:p w:rsidR="006731FA" w:rsidRPr="006731FA" w:rsidRDefault="006731FA" w:rsidP="006731FA">
      <w:pPr>
        <w:numPr>
          <w:ilvl w:val="0"/>
          <w:numId w:val="39"/>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Management control in the day to day delivery of the services responsible to the Board</w:t>
      </w:r>
    </w:p>
    <w:p w:rsidR="006731FA" w:rsidRPr="006731FA" w:rsidRDefault="006731FA" w:rsidP="006731FA">
      <w:pPr>
        <w:numPr>
          <w:ilvl w:val="0"/>
          <w:numId w:val="39"/>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Clinical and non-clinical staff as required for the delivery of services within the Tier 1 and Tier 2/3 services</w:t>
      </w:r>
    </w:p>
    <w:p w:rsidR="006731FA" w:rsidRPr="006731FA" w:rsidRDefault="006731FA" w:rsidP="006731FA">
      <w:pPr>
        <w:numPr>
          <w:ilvl w:val="0"/>
          <w:numId w:val="39"/>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Clinical Leadership for both strategic and operational elements of integrated urgent care across East Leicestershire within the Tier 2/3 service</w:t>
      </w:r>
    </w:p>
    <w:p w:rsidR="006731FA" w:rsidRPr="006731FA" w:rsidRDefault="006731FA" w:rsidP="006731FA">
      <w:pPr>
        <w:numPr>
          <w:ilvl w:val="0"/>
          <w:numId w:val="39"/>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Back office support services required to, e.g. Clinical governance, Human Resources, Analytics, Facilities, Finance, Governance, Health &amp; Safety, Insurance, IT and Business Continuity Provision of data aspiring towards better integrated IT systems to support modelling and  inform future service delivery through improved and integrated patient journey</w:t>
      </w:r>
    </w:p>
    <w:p w:rsidR="006731FA" w:rsidRPr="006731FA" w:rsidRDefault="006731FA" w:rsidP="006731FA">
      <w:pPr>
        <w:numPr>
          <w:ilvl w:val="0"/>
          <w:numId w:val="39"/>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Engagement in wider system changes (e.g. MCP development), as appropriate within LLR</w:t>
      </w:r>
    </w:p>
    <w:p w:rsidR="006731FA" w:rsidRPr="006731FA" w:rsidRDefault="006731FA" w:rsidP="006731FA">
      <w:pPr>
        <w:spacing w:after="200" w:line="276" w:lineRule="auto"/>
        <w:ind w:left="720"/>
        <w:contextualSpacing/>
        <w:jc w:val="both"/>
        <w:rPr>
          <w:rFonts w:eastAsiaTheme="minorHAnsi" w:cs="Arial"/>
          <w:sz w:val="22"/>
          <w:szCs w:val="22"/>
          <w:lang w:val="en-GB"/>
        </w:rPr>
      </w:pPr>
    </w:p>
    <w:p w:rsidR="006731FA" w:rsidRPr="006731FA" w:rsidRDefault="006731FA" w:rsidP="006731FA">
      <w:pPr>
        <w:numPr>
          <w:ilvl w:val="0"/>
          <w:numId w:val="44"/>
        </w:numPr>
        <w:spacing w:after="200" w:line="276" w:lineRule="auto"/>
        <w:contextualSpacing/>
        <w:jc w:val="both"/>
        <w:rPr>
          <w:rFonts w:eastAsiaTheme="minorHAnsi" w:cs="Arial"/>
          <w:b/>
          <w:sz w:val="22"/>
          <w:szCs w:val="22"/>
          <w:lang w:val="en-GB"/>
        </w:rPr>
      </w:pPr>
      <w:r w:rsidRPr="006731FA">
        <w:rPr>
          <w:rFonts w:eastAsiaTheme="minorHAnsi" w:cs="Arial"/>
          <w:b/>
          <w:sz w:val="22"/>
          <w:szCs w:val="22"/>
          <w:lang w:val="en-GB"/>
        </w:rPr>
        <w:t>ELR Federation expertise with in the Joint Venture</w:t>
      </w:r>
    </w:p>
    <w:p w:rsidR="006731FA" w:rsidRPr="006731FA" w:rsidRDefault="006731FA" w:rsidP="006731FA">
      <w:pPr>
        <w:numPr>
          <w:ilvl w:val="0"/>
          <w:numId w:val="40"/>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Practice engagement &amp; collaborative working with Primary Care (sub-contract arrangements have been put in place with The Croft Medical Centre and </w:t>
      </w:r>
      <w:proofErr w:type="spellStart"/>
      <w:r w:rsidRPr="006731FA">
        <w:rPr>
          <w:rFonts w:eastAsiaTheme="minorHAnsi" w:cs="Arial"/>
          <w:sz w:val="22"/>
          <w:szCs w:val="22"/>
          <w:lang w:val="en-GB"/>
        </w:rPr>
        <w:t>Bushloe</w:t>
      </w:r>
      <w:proofErr w:type="spellEnd"/>
      <w:r w:rsidRPr="006731FA">
        <w:rPr>
          <w:rFonts w:eastAsiaTheme="minorHAnsi" w:cs="Arial"/>
          <w:sz w:val="22"/>
          <w:szCs w:val="22"/>
          <w:lang w:val="en-GB"/>
        </w:rPr>
        <w:t xml:space="preserve"> Surgery to provide the GPs required at </w:t>
      </w:r>
      <w:proofErr w:type="spellStart"/>
      <w:r w:rsidRPr="006731FA">
        <w:rPr>
          <w:rFonts w:eastAsiaTheme="minorHAnsi" w:cs="Arial"/>
          <w:sz w:val="22"/>
          <w:szCs w:val="22"/>
          <w:lang w:val="en-GB"/>
        </w:rPr>
        <w:t>Oadby</w:t>
      </w:r>
      <w:proofErr w:type="spellEnd"/>
      <w:r w:rsidRPr="006731FA">
        <w:rPr>
          <w:rFonts w:eastAsiaTheme="minorHAnsi" w:cs="Arial"/>
          <w:sz w:val="22"/>
          <w:szCs w:val="22"/>
          <w:lang w:val="en-GB"/>
        </w:rPr>
        <w:t xml:space="preserve"> UCC during ‘core hours’, Monday to Friday.</w:t>
      </w:r>
    </w:p>
    <w:p w:rsidR="006731FA" w:rsidRPr="006731FA" w:rsidRDefault="006731FA" w:rsidP="006731FA">
      <w:pPr>
        <w:numPr>
          <w:ilvl w:val="0"/>
          <w:numId w:val="40"/>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Primary Care pathway interactions and streamlining of clinical pathways in turn improving patient experience in to and out of both the Tier 1 and Tier 2/3 services</w:t>
      </w:r>
    </w:p>
    <w:p w:rsidR="006731FA" w:rsidRPr="006731FA" w:rsidRDefault="006731FA" w:rsidP="006731FA">
      <w:pPr>
        <w:numPr>
          <w:ilvl w:val="0"/>
          <w:numId w:val="40"/>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Provision of data aspiring towards better integrated IT systems, including risk stratification software to support modelling and inform future service delivery</w:t>
      </w:r>
    </w:p>
    <w:p w:rsidR="006731FA" w:rsidRPr="006731FA" w:rsidRDefault="006731FA" w:rsidP="006731FA">
      <w:pPr>
        <w:numPr>
          <w:ilvl w:val="0"/>
          <w:numId w:val="40"/>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Clinical Leadership for both strategic and operational elements of integrated urgent care across West Leicestershire within the Tier 1 services</w:t>
      </w:r>
    </w:p>
    <w:p w:rsidR="006731FA" w:rsidRPr="006731FA" w:rsidRDefault="006731FA" w:rsidP="006731FA">
      <w:pPr>
        <w:numPr>
          <w:ilvl w:val="0"/>
          <w:numId w:val="40"/>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Engagement in wider system changes (e.g. PCN development), as appropriate within ELR</w:t>
      </w:r>
      <w:r w:rsidRPr="006731FA" w:rsidDel="009B2F5F">
        <w:rPr>
          <w:rFonts w:eastAsiaTheme="minorHAnsi" w:cs="Arial"/>
          <w:sz w:val="22"/>
          <w:szCs w:val="22"/>
          <w:lang w:val="en-GB"/>
        </w:rPr>
        <w:t xml:space="preserve"> </w:t>
      </w:r>
    </w:p>
    <w:p w:rsidR="006731FA" w:rsidRPr="006731FA" w:rsidRDefault="006731FA" w:rsidP="006731FA">
      <w:pPr>
        <w:spacing w:after="200" w:line="276" w:lineRule="auto"/>
        <w:ind w:left="720"/>
        <w:contextualSpacing/>
        <w:jc w:val="both"/>
        <w:rPr>
          <w:rFonts w:eastAsiaTheme="minorHAnsi" w:cs="Arial"/>
          <w:sz w:val="22"/>
          <w:szCs w:val="22"/>
          <w:lang w:val="en-GB"/>
        </w:rPr>
      </w:pPr>
    </w:p>
    <w:p w:rsidR="006731FA" w:rsidRPr="006731FA" w:rsidRDefault="006731FA" w:rsidP="006731FA">
      <w:pPr>
        <w:numPr>
          <w:ilvl w:val="0"/>
          <w:numId w:val="44"/>
        </w:numPr>
        <w:spacing w:after="200" w:line="276" w:lineRule="auto"/>
        <w:contextualSpacing/>
        <w:jc w:val="both"/>
        <w:rPr>
          <w:rFonts w:eastAsiaTheme="minorHAnsi" w:cs="Arial"/>
          <w:b/>
          <w:sz w:val="22"/>
          <w:szCs w:val="22"/>
          <w:lang w:val="en-GB"/>
        </w:rPr>
      </w:pPr>
      <w:r w:rsidRPr="006731FA">
        <w:rPr>
          <w:rFonts w:eastAsiaTheme="minorHAnsi" w:cs="Arial"/>
          <w:b/>
          <w:sz w:val="22"/>
          <w:szCs w:val="22"/>
          <w:lang w:val="en-GB"/>
        </w:rPr>
        <w:t>Governance</w:t>
      </w:r>
    </w:p>
    <w:p w:rsidR="006731FA" w:rsidRPr="006731FA" w:rsidRDefault="006731FA" w:rsidP="006731FA">
      <w:pPr>
        <w:numPr>
          <w:ilvl w:val="0"/>
          <w:numId w:val="45"/>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The Joint Venture will be supported by a robust governance structure.</w:t>
      </w:r>
    </w:p>
    <w:p w:rsidR="006731FA" w:rsidRPr="006731FA" w:rsidRDefault="006731FA" w:rsidP="006731FA">
      <w:pPr>
        <w:numPr>
          <w:ilvl w:val="0"/>
          <w:numId w:val="45"/>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A joint strategic Board will be formed to manage the strategic direction of the services with equal representation and voting rights for both parties and the appointment of an Independent Chair.</w:t>
      </w:r>
    </w:p>
    <w:p w:rsidR="006731FA" w:rsidRPr="006731FA" w:rsidRDefault="006731FA" w:rsidP="006731FA">
      <w:pPr>
        <w:numPr>
          <w:ilvl w:val="0"/>
          <w:numId w:val="45"/>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The Federation will receive reimbursement for its contribution @ £48K (</w:t>
      </w:r>
      <w:proofErr w:type="spellStart"/>
      <w:r w:rsidRPr="006731FA">
        <w:rPr>
          <w:rFonts w:eastAsiaTheme="minorHAnsi" w:cs="Arial"/>
          <w:sz w:val="22"/>
          <w:szCs w:val="22"/>
          <w:lang w:val="en-GB"/>
        </w:rPr>
        <w:t>inc</w:t>
      </w:r>
      <w:proofErr w:type="spellEnd"/>
      <w:r w:rsidRPr="006731FA">
        <w:rPr>
          <w:rFonts w:eastAsiaTheme="minorHAnsi" w:cs="Arial"/>
          <w:sz w:val="22"/>
          <w:szCs w:val="22"/>
          <w:lang w:val="en-GB"/>
        </w:rPr>
        <w:t xml:space="preserve"> VAT) per annum </w:t>
      </w:r>
    </w:p>
    <w:p w:rsidR="006731FA" w:rsidRPr="006731FA" w:rsidRDefault="006731FA" w:rsidP="006731FA">
      <w:pPr>
        <w:numPr>
          <w:ilvl w:val="0"/>
          <w:numId w:val="45"/>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 xml:space="preserve">In return for the Federation not being exposed in the event of a deficit; surplus will be retained by DHU up to a cap (TBA), beyond which it will be shared </w:t>
      </w:r>
      <w:proofErr w:type="gramStart"/>
      <w:r w:rsidRPr="006731FA">
        <w:rPr>
          <w:rFonts w:eastAsiaTheme="minorHAnsi" w:cs="Arial"/>
          <w:sz w:val="22"/>
          <w:szCs w:val="22"/>
          <w:lang w:val="en-GB"/>
        </w:rPr>
        <w:t>on a 50:50 basis</w:t>
      </w:r>
      <w:proofErr w:type="gramEnd"/>
      <w:r w:rsidRPr="006731FA">
        <w:rPr>
          <w:rFonts w:eastAsiaTheme="minorHAnsi" w:cs="Arial"/>
          <w:sz w:val="22"/>
          <w:szCs w:val="22"/>
          <w:lang w:val="en-GB"/>
        </w:rPr>
        <w:t>.</w:t>
      </w:r>
    </w:p>
    <w:p w:rsidR="006731FA" w:rsidRPr="006731FA" w:rsidRDefault="006731FA" w:rsidP="006731FA">
      <w:pPr>
        <w:numPr>
          <w:ilvl w:val="0"/>
          <w:numId w:val="45"/>
        </w:numPr>
        <w:spacing w:after="200" w:line="276" w:lineRule="auto"/>
        <w:contextualSpacing/>
        <w:jc w:val="both"/>
        <w:rPr>
          <w:rFonts w:eastAsiaTheme="minorHAnsi" w:cs="Arial"/>
          <w:sz w:val="22"/>
          <w:szCs w:val="22"/>
          <w:lang w:val="en-GB"/>
        </w:rPr>
      </w:pPr>
      <w:r w:rsidRPr="006731FA">
        <w:rPr>
          <w:rFonts w:eastAsiaTheme="minorHAnsi" w:cs="Arial"/>
          <w:sz w:val="22"/>
          <w:szCs w:val="22"/>
          <w:lang w:val="en-GB"/>
        </w:rPr>
        <w:t>The draft Articles of Association and Shareholders Agreement for the JV are inserted below.</w:t>
      </w:r>
    </w:p>
    <w:p w:rsidR="006731FA" w:rsidRPr="006731FA" w:rsidRDefault="006731FA" w:rsidP="006731FA">
      <w:pPr>
        <w:jc w:val="both"/>
        <w:rPr>
          <w:rFonts w:eastAsiaTheme="minorHAnsi" w:cs="Arial"/>
          <w:sz w:val="22"/>
          <w:szCs w:val="22"/>
          <w:lang w:val="en-GB"/>
        </w:rPr>
      </w:pPr>
    </w:p>
    <w:bookmarkStart w:id="1" w:name="_MON_1616230774"/>
    <w:bookmarkEnd w:id="1"/>
    <w:p w:rsidR="006731FA" w:rsidRPr="006731FA" w:rsidRDefault="006731FA" w:rsidP="006731FA">
      <w:pPr>
        <w:jc w:val="both"/>
        <w:rPr>
          <w:rFonts w:eastAsiaTheme="minorHAnsi" w:cs="Arial"/>
          <w:sz w:val="22"/>
          <w:szCs w:val="22"/>
          <w:lang w:val="en-GB"/>
        </w:rPr>
      </w:pPr>
      <w:r w:rsidRPr="006731FA">
        <w:rPr>
          <w:rFonts w:eastAsiaTheme="minorHAnsi" w:cs="Arial"/>
          <w:sz w:val="22"/>
          <w:szCs w:val="22"/>
          <w:lang w:val="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6" o:title=""/>
          </v:shape>
          <o:OLEObject Type="Embed" ProgID="Word.Document.12" ShapeID="_x0000_i1025" DrawAspect="Icon" ObjectID="_1616881869" r:id="rId17">
            <o:FieldCodes>\s</o:FieldCodes>
          </o:OLEObject>
        </w:object>
      </w:r>
      <w:r w:rsidRPr="006731FA">
        <w:rPr>
          <w:rFonts w:eastAsiaTheme="minorHAnsi" w:cs="Arial"/>
          <w:sz w:val="22"/>
          <w:szCs w:val="22"/>
          <w:lang w:val="en-GB"/>
        </w:rPr>
        <w:t xml:space="preserve">            </w:t>
      </w:r>
      <w:bookmarkStart w:id="2" w:name="_MON_1616230834"/>
      <w:bookmarkEnd w:id="2"/>
      <w:r w:rsidRPr="006731FA">
        <w:rPr>
          <w:rFonts w:eastAsiaTheme="minorHAnsi" w:cs="Arial"/>
          <w:sz w:val="22"/>
          <w:szCs w:val="22"/>
          <w:lang w:val="en-GB"/>
        </w:rPr>
        <w:object w:dxaOrig="1551" w:dyaOrig="1004">
          <v:shape id="_x0000_i1026" type="#_x0000_t75" style="width:77pt;height:50.25pt" o:ole="">
            <v:imagedata r:id="rId18" o:title=""/>
          </v:shape>
          <o:OLEObject Type="Embed" ProgID="Word.Document.12" ShapeID="_x0000_i1026" DrawAspect="Icon" ObjectID="_1616881870" r:id="rId19">
            <o:FieldCodes>\s</o:FieldCodes>
          </o:OLEObject>
        </w:object>
      </w:r>
      <w:r w:rsidRPr="006731FA">
        <w:rPr>
          <w:rFonts w:eastAsiaTheme="minorHAnsi" w:cs="Arial"/>
          <w:sz w:val="22"/>
          <w:szCs w:val="22"/>
          <w:lang w:val="en-GB"/>
        </w:rPr>
        <w:t xml:space="preserve">      </w:t>
      </w:r>
    </w:p>
    <w:p w:rsidR="006731FA" w:rsidRDefault="006731FA" w:rsidP="006731FA">
      <w:pPr>
        <w:jc w:val="both"/>
        <w:rPr>
          <w:rFonts w:eastAsiaTheme="minorHAnsi" w:cs="Arial"/>
          <w:sz w:val="22"/>
          <w:szCs w:val="22"/>
          <w:lang w:val="en-GB"/>
        </w:rPr>
      </w:pPr>
    </w:p>
    <w:p w:rsidR="00AF27FF" w:rsidRDefault="00AF27FF" w:rsidP="006731FA">
      <w:pPr>
        <w:jc w:val="both"/>
        <w:rPr>
          <w:rFonts w:eastAsiaTheme="minorHAnsi" w:cs="Arial"/>
          <w:sz w:val="22"/>
          <w:szCs w:val="22"/>
          <w:lang w:val="en-GB"/>
        </w:rPr>
      </w:pPr>
    </w:p>
    <w:p w:rsidR="00AF27FF" w:rsidRPr="006731FA" w:rsidRDefault="00AF27FF" w:rsidP="006731FA">
      <w:pPr>
        <w:jc w:val="both"/>
        <w:rPr>
          <w:rFonts w:eastAsiaTheme="minorHAnsi" w:cs="Arial"/>
          <w:sz w:val="22"/>
          <w:szCs w:val="22"/>
          <w:lang w:val="en-GB"/>
        </w:rPr>
      </w:pPr>
    </w:p>
    <w:p w:rsidR="006731FA" w:rsidRPr="006731FA" w:rsidRDefault="006731FA" w:rsidP="006731FA">
      <w:pPr>
        <w:widowControl w:val="0"/>
        <w:numPr>
          <w:ilvl w:val="0"/>
          <w:numId w:val="42"/>
        </w:numPr>
        <w:autoSpaceDE w:val="0"/>
        <w:autoSpaceDN w:val="0"/>
        <w:adjustRightInd w:val="0"/>
        <w:spacing w:after="200" w:line="276" w:lineRule="auto"/>
        <w:contextualSpacing/>
        <w:jc w:val="both"/>
        <w:rPr>
          <w:rFonts w:eastAsiaTheme="minorHAnsi" w:cs="Arial"/>
          <w:b/>
          <w:bCs/>
          <w:sz w:val="22"/>
          <w:szCs w:val="22"/>
          <w:u w:val="single"/>
        </w:rPr>
      </w:pPr>
      <w:r w:rsidRPr="006731FA">
        <w:rPr>
          <w:rFonts w:eastAsiaTheme="minorHAnsi" w:cs="Arial"/>
          <w:b/>
          <w:bCs/>
          <w:sz w:val="22"/>
          <w:szCs w:val="22"/>
          <w:u w:val="single"/>
        </w:rPr>
        <w:lastRenderedPageBreak/>
        <w:t>Resolution</w:t>
      </w:r>
    </w:p>
    <w:p w:rsidR="006731FA" w:rsidRPr="006731FA" w:rsidRDefault="006731FA" w:rsidP="006731FA">
      <w:pPr>
        <w:jc w:val="both"/>
        <w:rPr>
          <w:rFonts w:eastAsiaTheme="minorHAnsi" w:cs="Arial"/>
          <w:sz w:val="22"/>
          <w:szCs w:val="22"/>
          <w:lang w:val="en-GB"/>
        </w:rPr>
      </w:pPr>
    </w:p>
    <w:p w:rsidR="006731FA" w:rsidRPr="006731FA" w:rsidRDefault="006731FA" w:rsidP="006731FA">
      <w:pPr>
        <w:jc w:val="both"/>
        <w:rPr>
          <w:rFonts w:eastAsiaTheme="minorHAnsi" w:cs="Arial"/>
          <w:b/>
          <w:sz w:val="22"/>
          <w:szCs w:val="22"/>
          <w:u w:val="single"/>
          <w:lang w:val="en-GB"/>
        </w:rPr>
      </w:pPr>
      <w:r w:rsidRPr="006731FA">
        <w:rPr>
          <w:rFonts w:eastAsiaTheme="minorHAnsi" w:cs="Arial"/>
          <w:b/>
          <w:sz w:val="22"/>
          <w:szCs w:val="22"/>
          <w:u w:val="single"/>
          <w:lang w:val="en-GB"/>
        </w:rPr>
        <w:t>The Directors propose that a special resolution of the shareholders of ELR GP Fed Ltd is made to approve the formation of a Joint Venture with DHU at its General Meeting on 24</w:t>
      </w:r>
      <w:r w:rsidRPr="006731FA">
        <w:rPr>
          <w:rFonts w:eastAsiaTheme="minorHAnsi" w:cs="Arial"/>
          <w:b/>
          <w:sz w:val="22"/>
          <w:szCs w:val="22"/>
          <w:u w:val="single"/>
          <w:vertAlign w:val="superscript"/>
          <w:lang w:val="en-GB"/>
        </w:rPr>
        <w:t>th</w:t>
      </w:r>
      <w:r w:rsidRPr="006731FA">
        <w:rPr>
          <w:rFonts w:eastAsiaTheme="minorHAnsi" w:cs="Arial"/>
          <w:b/>
          <w:sz w:val="22"/>
          <w:szCs w:val="22"/>
          <w:u w:val="single"/>
          <w:lang w:val="en-GB"/>
        </w:rPr>
        <w:t xml:space="preserve"> April 2019 @ 7pm @ </w:t>
      </w:r>
      <w:proofErr w:type="spellStart"/>
      <w:r w:rsidRPr="006731FA">
        <w:rPr>
          <w:rFonts w:eastAsiaTheme="minorHAnsi" w:cs="Arial"/>
          <w:b/>
          <w:sz w:val="22"/>
          <w:szCs w:val="22"/>
          <w:u w:val="single"/>
          <w:lang w:val="en-GB"/>
        </w:rPr>
        <w:t>Syston</w:t>
      </w:r>
      <w:proofErr w:type="spellEnd"/>
      <w:r w:rsidRPr="006731FA">
        <w:rPr>
          <w:rFonts w:eastAsiaTheme="minorHAnsi" w:cs="Arial"/>
          <w:b/>
          <w:sz w:val="22"/>
          <w:szCs w:val="22"/>
          <w:u w:val="single"/>
          <w:lang w:val="en-GB"/>
        </w:rPr>
        <w:t xml:space="preserve"> Health Centre.</w:t>
      </w:r>
    </w:p>
    <w:p w:rsidR="006731FA" w:rsidRPr="006731FA" w:rsidRDefault="006731FA" w:rsidP="006731FA">
      <w:pPr>
        <w:spacing w:after="200" w:line="276" w:lineRule="auto"/>
        <w:rPr>
          <w:rFonts w:eastAsiaTheme="minorHAnsi"/>
          <w:sz w:val="22"/>
          <w:szCs w:val="22"/>
          <w:lang w:val="en-GB"/>
        </w:rPr>
      </w:pPr>
    </w:p>
    <w:p w:rsidR="000D1F53" w:rsidRDefault="000D1F53">
      <w:pPr>
        <w:spacing w:after="200" w:line="276" w:lineRule="auto"/>
        <w:rPr>
          <w:rFonts w:eastAsia="Times New Roman" w:cs="Arial"/>
          <w:bCs/>
          <w:iCs/>
          <w:color w:val="333333"/>
          <w:sz w:val="22"/>
          <w:szCs w:val="22"/>
          <w:lang w:val="en-GB" w:eastAsia="en-GB"/>
        </w:rPr>
      </w:pPr>
    </w:p>
    <w:sectPr w:rsidR="000D1F53" w:rsidSect="006731FA">
      <w:pgSz w:w="11906" w:h="16838" w:code="9"/>
      <w:pgMar w:top="1135" w:right="1418" w:bottom="113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FrutigerLTCom-Light">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3221"/>
      <w:docPartObj>
        <w:docPartGallery w:val="Page Numbers (Bottom of Page)"/>
        <w:docPartUnique/>
      </w:docPartObj>
    </w:sdtPr>
    <w:sdtEndPr/>
    <w:sdtContent>
      <w:sdt>
        <w:sdtPr>
          <w:id w:val="860082579"/>
          <w:docPartObj>
            <w:docPartGallery w:val="Page Numbers (Top of Page)"/>
            <w:docPartUnique/>
          </w:docPartObj>
        </w:sdtPr>
        <w:sdtEndPr/>
        <w:sdtContent>
          <w:p w:rsidR="00163B74" w:rsidRDefault="00163B74">
            <w:pPr>
              <w:pStyle w:val="Footer"/>
              <w:jc w:val="right"/>
              <w:rPr>
                <w:b/>
                <w:bCs/>
              </w:rPr>
            </w:pPr>
            <w:r>
              <w:t xml:space="preserve">Page </w:t>
            </w:r>
            <w:r>
              <w:rPr>
                <w:b/>
                <w:bCs/>
              </w:rPr>
              <w:fldChar w:fldCharType="begin"/>
            </w:r>
            <w:r>
              <w:rPr>
                <w:b/>
                <w:bCs/>
              </w:rPr>
              <w:instrText xml:space="preserve"> PAGE </w:instrText>
            </w:r>
            <w:r>
              <w:rPr>
                <w:b/>
                <w:bCs/>
              </w:rPr>
              <w:fldChar w:fldCharType="separate"/>
            </w:r>
            <w:r w:rsidR="00E31ED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31ED0">
              <w:rPr>
                <w:b/>
                <w:bCs/>
                <w:noProof/>
              </w:rPr>
              <w:t>14</w:t>
            </w:r>
            <w:r>
              <w:rPr>
                <w:b/>
                <w:bCs/>
              </w:rPr>
              <w:fldChar w:fldCharType="end"/>
            </w:r>
          </w:p>
          <w:p w:rsidR="00163B74" w:rsidRDefault="00163B74" w:rsidP="00930366">
            <w:pPr>
              <w:pStyle w:val="Footer"/>
            </w:pPr>
            <w:r w:rsidRPr="00930366">
              <w:rPr>
                <w:bCs/>
                <w:i/>
                <w:sz w:val="20"/>
                <w:szCs w:val="20"/>
              </w:rPr>
              <w:t>April 2019</w:t>
            </w:r>
          </w:p>
        </w:sdtContent>
      </w:sdt>
    </w:sdtContent>
  </w:sdt>
  <w:p w:rsidR="00163B74" w:rsidRDefault="0016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5C5"/>
    <w:multiLevelType w:val="hybridMultilevel"/>
    <w:tmpl w:val="1EF4C3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B646A"/>
    <w:multiLevelType w:val="hybridMultilevel"/>
    <w:tmpl w:val="E7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6481E"/>
    <w:multiLevelType w:val="hybridMultilevel"/>
    <w:tmpl w:val="63D6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E72713"/>
    <w:multiLevelType w:val="hybridMultilevel"/>
    <w:tmpl w:val="2C148634"/>
    <w:lvl w:ilvl="0" w:tplc="8C26FD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8C2E4F"/>
    <w:multiLevelType w:val="hybridMultilevel"/>
    <w:tmpl w:val="7218A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81E92"/>
    <w:multiLevelType w:val="hybridMultilevel"/>
    <w:tmpl w:val="05EE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1731D"/>
    <w:multiLevelType w:val="hybridMultilevel"/>
    <w:tmpl w:val="7E7A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5289E"/>
    <w:multiLevelType w:val="hybridMultilevel"/>
    <w:tmpl w:val="303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47D08"/>
    <w:multiLevelType w:val="hybridMultilevel"/>
    <w:tmpl w:val="EF124C7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4B43E4"/>
    <w:multiLevelType w:val="hybridMultilevel"/>
    <w:tmpl w:val="63E2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0A0373F"/>
    <w:multiLevelType w:val="hybridMultilevel"/>
    <w:tmpl w:val="5C9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20DCE"/>
    <w:multiLevelType w:val="hybridMultilevel"/>
    <w:tmpl w:val="BAC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900E4"/>
    <w:multiLevelType w:val="hybridMultilevel"/>
    <w:tmpl w:val="3C6420C8"/>
    <w:lvl w:ilvl="0" w:tplc="15CA57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8825ED"/>
    <w:multiLevelType w:val="hybridMultilevel"/>
    <w:tmpl w:val="834E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25009"/>
    <w:multiLevelType w:val="hybridMultilevel"/>
    <w:tmpl w:val="627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290256"/>
    <w:multiLevelType w:val="hybridMultilevel"/>
    <w:tmpl w:val="0534F7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955F89"/>
    <w:multiLevelType w:val="hybridMultilevel"/>
    <w:tmpl w:val="FA203C1A"/>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1">
    <w:nsid w:val="39425F89"/>
    <w:multiLevelType w:val="hybridMultilevel"/>
    <w:tmpl w:val="ADCABF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A901B3"/>
    <w:multiLevelType w:val="hybridMultilevel"/>
    <w:tmpl w:val="07827238"/>
    <w:lvl w:ilvl="0" w:tplc="46766F36">
      <w:start w:val="1"/>
      <w:numFmt w:val="lowerLetter"/>
      <w:lvlText w:val="(%1)"/>
      <w:lvlJc w:val="left"/>
      <w:pPr>
        <w:ind w:left="786" w:hanging="360"/>
      </w:pPr>
      <w:rPr>
        <w:rFonts w:eastAsia="Times New Roman"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75764C"/>
    <w:multiLevelType w:val="hybridMultilevel"/>
    <w:tmpl w:val="05A27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F101C52"/>
    <w:multiLevelType w:val="multilevel"/>
    <w:tmpl w:val="46A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FF6749"/>
    <w:multiLevelType w:val="hybridMultilevel"/>
    <w:tmpl w:val="B5FADE96"/>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420F0E54"/>
    <w:multiLevelType w:val="hybridMultilevel"/>
    <w:tmpl w:val="D9AE9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344560"/>
    <w:multiLevelType w:val="hybridMultilevel"/>
    <w:tmpl w:val="52D89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938DD"/>
    <w:multiLevelType w:val="hybridMultilevel"/>
    <w:tmpl w:val="AB72CD30"/>
    <w:lvl w:ilvl="0" w:tplc="2286C1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DA91BA7"/>
    <w:multiLevelType w:val="hybridMultilevel"/>
    <w:tmpl w:val="AFC46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E7F211C"/>
    <w:multiLevelType w:val="hybridMultilevel"/>
    <w:tmpl w:val="BD60B6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nsid w:val="52387C20"/>
    <w:multiLevelType w:val="hybridMultilevel"/>
    <w:tmpl w:val="3E90AE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2E2F32"/>
    <w:multiLevelType w:val="hybridMultilevel"/>
    <w:tmpl w:val="294A47A2"/>
    <w:lvl w:ilvl="0" w:tplc="255829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C672834"/>
    <w:multiLevelType w:val="hybridMultilevel"/>
    <w:tmpl w:val="F40AAB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13705C"/>
    <w:multiLevelType w:val="hybridMultilevel"/>
    <w:tmpl w:val="7088A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1DF7808"/>
    <w:multiLevelType w:val="hybridMultilevel"/>
    <w:tmpl w:val="ACD86A4C"/>
    <w:lvl w:ilvl="0" w:tplc="85BC26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7FB5AA7"/>
    <w:multiLevelType w:val="hybridMultilevel"/>
    <w:tmpl w:val="AC0C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3486F5A"/>
    <w:multiLevelType w:val="hybridMultilevel"/>
    <w:tmpl w:val="36B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563245"/>
    <w:multiLevelType w:val="hybridMultilevel"/>
    <w:tmpl w:val="59A69B2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586765"/>
    <w:multiLevelType w:val="hybridMultilevel"/>
    <w:tmpl w:val="982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7135B"/>
    <w:multiLevelType w:val="hybridMultilevel"/>
    <w:tmpl w:val="71F07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20"/>
  </w:num>
  <w:num w:numId="3">
    <w:abstractNumId w:val="7"/>
  </w:num>
  <w:num w:numId="4">
    <w:abstractNumId w:val="22"/>
  </w:num>
  <w:num w:numId="5">
    <w:abstractNumId w:val="46"/>
  </w:num>
  <w:num w:numId="6">
    <w:abstractNumId w:val="41"/>
  </w:num>
  <w:num w:numId="7">
    <w:abstractNumId w:val="45"/>
  </w:num>
  <w:num w:numId="8">
    <w:abstractNumId w:val="47"/>
  </w:num>
  <w:num w:numId="9">
    <w:abstractNumId w:val="6"/>
  </w:num>
  <w:num w:numId="10">
    <w:abstractNumId w:val="30"/>
  </w:num>
  <w:num w:numId="11">
    <w:abstractNumId w:val="12"/>
  </w:num>
  <w:num w:numId="12">
    <w:abstractNumId w:val="23"/>
  </w:num>
  <w:num w:numId="13">
    <w:abstractNumId w:val="5"/>
  </w:num>
  <w:num w:numId="14">
    <w:abstractNumId w:val="29"/>
  </w:num>
  <w:num w:numId="15">
    <w:abstractNumId w:val="21"/>
  </w:num>
  <w:num w:numId="16">
    <w:abstractNumId w:val="38"/>
  </w:num>
  <w:num w:numId="17">
    <w:abstractNumId w:val="17"/>
  </w:num>
  <w:num w:numId="18">
    <w:abstractNumId w:val="10"/>
  </w:num>
  <w:num w:numId="19">
    <w:abstractNumId w:val="31"/>
  </w:num>
  <w:num w:numId="20">
    <w:abstractNumId w:val="26"/>
  </w:num>
  <w:num w:numId="21">
    <w:abstractNumId w:val="28"/>
  </w:num>
  <w:num w:numId="22">
    <w:abstractNumId w:val="8"/>
  </w:num>
  <w:num w:numId="23">
    <w:abstractNumId w:val="43"/>
  </w:num>
  <w:num w:numId="24">
    <w:abstractNumId w:val="19"/>
  </w:num>
  <w:num w:numId="25">
    <w:abstractNumId w:val="34"/>
  </w:num>
  <w:num w:numId="26">
    <w:abstractNumId w:val="35"/>
  </w:num>
  <w:num w:numId="27">
    <w:abstractNumId w:val="0"/>
  </w:num>
  <w:num w:numId="28">
    <w:abstractNumId w:val="9"/>
  </w:num>
  <w:num w:numId="29">
    <w:abstractNumId w:val="37"/>
  </w:num>
  <w:num w:numId="30">
    <w:abstractNumId w:val="25"/>
  </w:num>
  <w:num w:numId="31">
    <w:abstractNumId w:val="33"/>
  </w:num>
  <w:num w:numId="32">
    <w:abstractNumId w:val="3"/>
  </w:num>
  <w:num w:numId="33">
    <w:abstractNumId w:val="27"/>
  </w:num>
  <w:num w:numId="34">
    <w:abstractNumId w:val="49"/>
  </w:num>
  <w:num w:numId="35">
    <w:abstractNumId w:val="44"/>
  </w:num>
  <w:num w:numId="36">
    <w:abstractNumId w:val="18"/>
  </w:num>
  <w:num w:numId="37">
    <w:abstractNumId w:val="14"/>
  </w:num>
  <w:num w:numId="38">
    <w:abstractNumId w:val="48"/>
  </w:num>
  <w:num w:numId="39">
    <w:abstractNumId w:val="15"/>
  </w:num>
  <w:num w:numId="40">
    <w:abstractNumId w:val="1"/>
  </w:num>
  <w:num w:numId="41">
    <w:abstractNumId w:val="32"/>
  </w:num>
  <w:num w:numId="42">
    <w:abstractNumId w:val="2"/>
  </w:num>
  <w:num w:numId="43">
    <w:abstractNumId w:val="39"/>
  </w:num>
  <w:num w:numId="44">
    <w:abstractNumId w:val="16"/>
  </w:num>
  <w:num w:numId="45">
    <w:abstractNumId w:val="24"/>
  </w:num>
  <w:num w:numId="46">
    <w:abstractNumId w:val="13"/>
  </w:num>
  <w:num w:numId="47">
    <w:abstractNumId w:val="4"/>
  </w:num>
  <w:num w:numId="48">
    <w:abstractNumId w:val="36"/>
  </w:num>
  <w:num w:numId="49">
    <w:abstractNumId w:val="40"/>
  </w:num>
  <w:num w:numId="5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52EF6"/>
    <w:rsid w:val="00055B17"/>
    <w:rsid w:val="000728B6"/>
    <w:rsid w:val="00072F62"/>
    <w:rsid w:val="00081866"/>
    <w:rsid w:val="0008317A"/>
    <w:rsid w:val="0008448F"/>
    <w:rsid w:val="000A1F4A"/>
    <w:rsid w:val="000A314A"/>
    <w:rsid w:val="000A427F"/>
    <w:rsid w:val="000A4EDE"/>
    <w:rsid w:val="000A71B8"/>
    <w:rsid w:val="000B1430"/>
    <w:rsid w:val="000C0F8E"/>
    <w:rsid w:val="000C3CBA"/>
    <w:rsid w:val="000C5503"/>
    <w:rsid w:val="000C795E"/>
    <w:rsid w:val="000D00DD"/>
    <w:rsid w:val="000D0B05"/>
    <w:rsid w:val="000D19A6"/>
    <w:rsid w:val="000D1F53"/>
    <w:rsid w:val="000D2C95"/>
    <w:rsid w:val="000D5646"/>
    <w:rsid w:val="000E1B38"/>
    <w:rsid w:val="000E2435"/>
    <w:rsid w:val="000E456D"/>
    <w:rsid w:val="000E5455"/>
    <w:rsid w:val="000F264C"/>
    <w:rsid w:val="00107BA5"/>
    <w:rsid w:val="0011130F"/>
    <w:rsid w:val="00113529"/>
    <w:rsid w:val="00120110"/>
    <w:rsid w:val="00124CA4"/>
    <w:rsid w:val="001252BF"/>
    <w:rsid w:val="00126432"/>
    <w:rsid w:val="00127960"/>
    <w:rsid w:val="001337F9"/>
    <w:rsid w:val="00133FC8"/>
    <w:rsid w:val="0013495C"/>
    <w:rsid w:val="00135B56"/>
    <w:rsid w:val="00140C1B"/>
    <w:rsid w:val="00147709"/>
    <w:rsid w:val="00147861"/>
    <w:rsid w:val="00150AC3"/>
    <w:rsid w:val="001526A9"/>
    <w:rsid w:val="00152DA7"/>
    <w:rsid w:val="00155058"/>
    <w:rsid w:val="001560E3"/>
    <w:rsid w:val="0016274F"/>
    <w:rsid w:val="00163B74"/>
    <w:rsid w:val="00164951"/>
    <w:rsid w:val="00166655"/>
    <w:rsid w:val="00171CD4"/>
    <w:rsid w:val="001731CF"/>
    <w:rsid w:val="00180578"/>
    <w:rsid w:val="00191B52"/>
    <w:rsid w:val="00193521"/>
    <w:rsid w:val="001955D7"/>
    <w:rsid w:val="001A27FE"/>
    <w:rsid w:val="001A2888"/>
    <w:rsid w:val="001B229E"/>
    <w:rsid w:val="001B6FE5"/>
    <w:rsid w:val="001C679F"/>
    <w:rsid w:val="001D2D34"/>
    <w:rsid w:val="001E0BED"/>
    <w:rsid w:val="001E48C7"/>
    <w:rsid w:val="001E6B21"/>
    <w:rsid w:val="001F0638"/>
    <w:rsid w:val="001F16C0"/>
    <w:rsid w:val="001F6D53"/>
    <w:rsid w:val="00200320"/>
    <w:rsid w:val="0020138C"/>
    <w:rsid w:val="00201B67"/>
    <w:rsid w:val="00202DC4"/>
    <w:rsid w:val="00207879"/>
    <w:rsid w:val="002171FB"/>
    <w:rsid w:val="00217A52"/>
    <w:rsid w:val="00225571"/>
    <w:rsid w:val="00232960"/>
    <w:rsid w:val="002337B5"/>
    <w:rsid w:val="0024000A"/>
    <w:rsid w:val="002435D3"/>
    <w:rsid w:val="00250411"/>
    <w:rsid w:val="00251F69"/>
    <w:rsid w:val="00252807"/>
    <w:rsid w:val="00255ED3"/>
    <w:rsid w:val="00256D16"/>
    <w:rsid w:val="0026093B"/>
    <w:rsid w:val="002614B0"/>
    <w:rsid w:val="00263F94"/>
    <w:rsid w:val="0026501F"/>
    <w:rsid w:val="0026603A"/>
    <w:rsid w:val="002661DF"/>
    <w:rsid w:val="00270B24"/>
    <w:rsid w:val="0027284E"/>
    <w:rsid w:val="002815EB"/>
    <w:rsid w:val="0028762B"/>
    <w:rsid w:val="00291F8D"/>
    <w:rsid w:val="00292825"/>
    <w:rsid w:val="00294E63"/>
    <w:rsid w:val="00296BE5"/>
    <w:rsid w:val="00297499"/>
    <w:rsid w:val="002A204D"/>
    <w:rsid w:val="002A23C0"/>
    <w:rsid w:val="002A33D8"/>
    <w:rsid w:val="002A6A0F"/>
    <w:rsid w:val="002B4D9F"/>
    <w:rsid w:val="002B7262"/>
    <w:rsid w:val="002B7768"/>
    <w:rsid w:val="002D5A68"/>
    <w:rsid w:val="002E0E2B"/>
    <w:rsid w:val="002E35C3"/>
    <w:rsid w:val="002E4315"/>
    <w:rsid w:val="002E5E11"/>
    <w:rsid w:val="002F01F4"/>
    <w:rsid w:val="002F0E52"/>
    <w:rsid w:val="002F7A77"/>
    <w:rsid w:val="003017CD"/>
    <w:rsid w:val="00303AB9"/>
    <w:rsid w:val="00303C55"/>
    <w:rsid w:val="00310FDF"/>
    <w:rsid w:val="003153E7"/>
    <w:rsid w:val="00321A21"/>
    <w:rsid w:val="00332961"/>
    <w:rsid w:val="00333287"/>
    <w:rsid w:val="00343B77"/>
    <w:rsid w:val="003447A3"/>
    <w:rsid w:val="00347D4A"/>
    <w:rsid w:val="00350B2E"/>
    <w:rsid w:val="00357EDE"/>
    <w:rsid w:val="003605F2"/>
    <w:rsid w:val="00366D84"/>
    <w:rsid w:val="00373D14"/>
    <w:rsid w:val="00390651"/>
    <w:rsid w:val="00392A7A"/>
    <w:rsid w:val="00394137"/>
    <w:rsid w:val="003A0EEA"/>
    <w:rsid w:val="003A1272"/>
    <w:rsid w:val="003A6B6A"/>
    <w:rsid w:val="003B556B"/>
    <w:rsid w:val="003C2086"/>
    <w:rsid w:val="003C6775"/>
    <w:rsid w:val="003D2C5C"/>
    <w:rsid w:val="003D53BA"/>
    <w:rsid w:val="003D544C"/>
    <w:rsid w:val="003D7A36"/>
    <w:rsid w:val="003E1AC3"/>
    <w:rsid w:val="003E4991"/>
    <w:rsid w:val="003E61E9"/>
    <w:rsid w:val="003E6A69"/>
    <w:rsid w:val="003F02C4"/>
    <w:rsid w:val="003F3C66"/>
    <w:rsid w:val="00401D5C"/>
    <w:rsid w:val="00406601"/>
    <w:rsid w:val="00407576"/>
    <w:rsid w:val="00414376"/>
    <w:rsid w:val="004214AD"/>
    <w:rsid w:val="00422506"/>
    <w:rsid w:val="004262DE"/>
    <w:rsid w:val="00426349"/>
    <w:rsid w:val="00427254"/>
    <w:rsid w:val="00427E8F"/>
    <w:rsid w:val="00431F14"/>
    <w:rsid w:val="00432D6C"/>
    <w:rsid w:val="00446127"/>
    <w:rsid w:val="00452D07"/>
    <w:rsid w:val="0045401C"/>
    <w:rsid w:val="00464FD9"/>
    <w:rsid w:val="00467325"/>
    <w:rsid w:val="00467425"/>
    <w:rsid w:val="00470A02"/>
    <w:rsid w:val="00470FF9"/>
    <w:rsid w:val="00485764"/>
    <w:rsid w:val="004872EF"/>
    <w:rsid w:val="0049339C"/>
    <w:rsid w:val="004948A0"/>
    <w:rsid w:val="00496B6F"/>
    <w:rsid w:val="00496B97"/>
    <w:rsid w:val="004A1128"/>
    <w:rsid w:val="004A2EB9"/>
    <w:rsid w:val="004A71E9"/>
    <w:rsid w:val="004B065C"/>
    <w:rsid w:val="004B424C"/>
    <w:rsid w:val="004B547E"/>
    <w:rsid w:val="004B5646"/>
    <w:rsid w:val="004C0A34"/>
    <w:rsid w:val="004C2C6F"/>
    <w:rsid w:val="004C7277"/>
    <w:rsid w:val="004D1EB6"/>
    <w:rsid w:val="004E0317"/>
    <w:rsid w:val="004E43D1"/>
    <w:rsid w:val="004E6D5D"/>
    <w:rsid w:val="004F4BCD"/>
    <w:rsid w:val="00504776"/>
    <w:rsid w:val="00506061"/>
    <w:rsid w:val="00513F14"/>
    <w:rsid w:val="00521E29"/>
    <w:rsid w:val="00523CA6"/>
    <w:rsid w:val="00525329"/>
    <w:rsid w:val="00525FB6"/>
    <w:rsid w:val="005271EF"/>
    <w:rsid w:val="0053146A"/>
    <w:rsid w:val="0053525B"/>
    <w:rsid w:val="00535EDF"/>
    <w:rsid w:val="0053603D"/>
    <w:rsid w:val="0053682A"/>
    <w:rsid w:val="005403DC"/>
    <w:rsid w:val="00543220"/>
    <w:rsid w:val="005440D3"/>
    <w:rsid w:val="00547C29"/>
    <w:rsid w:val="00551071"/>
    <w:rsid w:val="00551107"/>
    <w:rsid w:val="00556A6F"/>
    <w:rsid w:val="00560FAA"/>
    <w:rsid w:val="0056174D"/>
    <w:rsid w:val="00566446"/>
    <w:rsid w:val="0057251E"/>
    <w:rsid w:val="00574729"/>
    <w:rsid w:val="0057649F"/>
    <w:rsid w:val="00591498"/>
    <w:rsid w:val="00591FE5"/>
    <w:rsid w:val="0059288D"/>
    <w:rsid w:val="00596676"/>
    <w:rsid w:val="005A4B1E"/>
    <w:rsid w:val="005A5BEF"/>
    <w:rsid w:val="005A60FD"/>
    <w:rsid w:val="005A75C0"/>
    <w:rsid w:val="005A7FD6"/>
    <w:rsid w:val="005B51EF"/>
    <w:rsid w:val="005B57A6"/>
    <w:rsid w:val="005C313C"/>
    <w:rsid w:val="005D1505"/>
    <w:rsid w:val="005E1EE1"/>
    <w:rsid w:val="005E30E0"/>
    <w:rsid w:val="005F1A06"/>
    <w:rsid w:val="00603642"/>
    <w:rsid w:val="006045F7"/>
    <w:rsid w:val="006057B3"/>
    <w:rsid w:val="00605943"/>
    <w:rsid w:val="006106A5"/>
    <w:rsid w:val="00613413"/>
    <w:rsid w:val="00614C24"/>
    <w:rsid w:val="00614E43"/>
    <w:rsid w:val="00616057"/>
    <w:rsid w:val="00616B6C"/>
    <w:rsid w:val="00632B94"/>
    <w:rsid w:val="00634CBD"/>
    <w:rsid w:val="00636A99"/>
    <w:rsid w:val="00646D20"/>
    <w:rsid w:val="00653D86"/>
    <w:rsid w:val="006558C0"/>
    <w:rsid w:val="00661D13"/>
    <w:rsid w:val="006620D3"/>
    <w:rsid w:val="006731FA"/>
    <w:rsid w:val="006778FE"/>
    <w:rsid w:val="00692F65"/>
    <w:rsid w:val="006A28AF"/>
    <w:rsid w:val="006A59AF"/>
    <w:rsid w:val="006B7AAF"/>
    <w:rsid w:val="006D10D8"/>
    <w:rsid w:val="006D29B7"/>
    <w:rsid w:val="006D5FB7"/>
    <w:rsid w:val="006D648B"/>
    <w:rsid w:val="006F15E9"/>
    <w:rsid w:val="006F56A5"/>
    <w:rsid w:val="006F5B46"/>
    <w:rsid w:val="006F5C69"/>
    <w:rsid w:val="006F693E"/>
    <w:rsid w:val="00700A26"/>
    <w:rsid w:val="00705E35"/>
    <w:rsid w:val="0071568A"/>
    <w:rsid w:val="00721564"/>
    <w:rsid w:val="00725036"/>
    <w:rsid w:val="00733340"/>
    <w:rsid w:val="00737BCA"/>
    <w:rsid w:val="00744A2F"/>
    <w:rsid w:val="00751EC9"/>
    <w:rsid w:val="0075316F"/>
    <w:rsid w:val="00754D58"/>
    <w:rsid w:val="00754E70"/>
    <w:rsid w:val="00755985"/>
    <w:rsid w:val="00760792"/>
    <w:rsid w:val="00765912"/>
    <w:rsid w:val="00765970"/>
    <w:rsid w:val="00774F48"/>
    <w:rsid w:val="00775038"/>
    <w:rsid w:val="0077622A"/>
    <w:rsid w:val="007819B3"/>
    <w:rsid w:val="007853EE"/>
    <w:rsid w:val="00792E2C"/>
    <w:rsid w:val="007947F6"/>
    <w:rsid w:val="007978E6"/>
    <w:rsid w:val="007A002E"/>
    <w:rsid w:val="007A064F"/>
    <w:rsid w:val="007A1593"/>
    <w:rsid w:val="007B0AC4"/>
    <w:rsid w:val="007B552B"/>
    <w:rsid w:val="007B74B6"/>
    <w:rsid w:val="007C1AA6"/>
    <w:rsid w:val="007C2ACC"/>
    <w:rsid w:val="007D0A1E"/>
    <w:rsid w:val="007D4035"/>
    <w:rsid w:val="007D75BE"/>
    <w:rsid w:val="007E4763"/>
    <w:rsid w:val="007F04B5"/>
    <w:rsid w:val="007F0B03"/>
    <w:rsid w:val="007F6C68"/>
    <w:rsid w:val="00800207"/>
    <w:rsid w:val="00800DEE"/>
    <w:rsid w:val="0081673B"/>
    <w:rsid w:val="008170C9"/>
    <w:rsid w:val="00821AEE"/>
    <w:rsid w:val="008241E5"/>
    <w:rsid w:val="00824533"/>
    <w:rsid w:val="008272FB"/>
    <w:rsid w:val="008300F9"/>
    <w:rsid w:val="00836B1A"/>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315"/>
    <w:rsid w:val="008D0CF1"/>
    <w:rsid w:val="008D677B"/>
    <w:rsid w:val="008E2F7E"/>
    <w:rsid w:val="008E3C55"/>
    <w:rsid w:val="008E6685"/>
    <w:rsid w:val="008E670A"/>
    <w:rsid w:val="009002D5"/>
    <w:rsid w:val="00911A17"/>
    <w:rsid w:val="00912F27"/>
    <w:rsid w:val="00913BD2"/>
    <w:rsid w:val="009173D5"/>
    <w:rsid w:val="009251FD"/>
    <w:rsid w:val="0093158B"/>
    <w:rsid w:val="00932325"/>
    <w:rsid w:val="0093255C"/>
    <w:rsid w:val="00933D0E"/>
    <w:rsid w:val="00946044"/>
    <w:rsid w:val="00950600"/>
    <w:rsid w:val="0095352A"/>
    <w:rsid w:val="009613B0"/>
    <w:rsid w:val="009716AC"/>
    <w:rsid w:val="009716EB"/>
    <w:rsid w:val="00972ADA"/>
    <w:rsid w:val="00972FEC"/>
    <w:rsid w:val="00973DA6"/>
    <w:rsid w:val="00974377"/>
    <w:rsid w:val="0098186D"/>
    <w:rsid w:val="00983E4C"/>
    <w:rsid w:val="00993498"/>
    <w:rsid w:val="009953A0"/>
    <w:rsid w:val="00995BBA"/>
    <w:rsid w:val="009A04FB"/>
    <w:rsid w:val="009A1770"/>
    <w:rsid w:val="009A1F58"/>
    <w:rsid w:val="009A2733"/>
    <w:rsid w:val="009A4D93"/>
    <w:rsid w:val="009A5767"/>
    <w:rsid w:val="009B202D"/>
    <w:rsid w:val="009B2854"/>
    <w:rsid w:val="009B3900"/>
    <w:rsid w:val="009B4701"/>
    <w:rsid w:val="009C149B"/>
    <w:rsid w:val="009E38D5"/>
    <w:rsid w:val="009E5959"/>
    <w:rsid w:val="009F7DB6"/>
    <w:rsid w:val="00A05071"/>
    <w:rsid w:val="00A05E67"/>
    <w:rsid w:val="00A3022C"/>
    <w:rsid w:val="00A3484D"/>
    <w:rsid w:val="00A35AC5"/>
    <w:rsid w:val="00A3793C"/>
    <w:rsid w:val="00A40FF6"/>
    <w:rsid w:val="00A422B9"/>
    <w:rsid w:val="00A611A3"/>
    <w:rsid w:val="00A935E0"/>
    <w:rsid w:val="00A94A53"/>
    <w:rsid w:val="00A9526D"/>
    <w:rsid w:val="00AA2F8F"/>
    <w:rsid w:val="00AA30B9"/>
    <w:rsid w:val="00AA3A0C"/>
    <w:rsid w:val="00AB7DAE"/>
    <w:rsid w:val="00AC427F"/>
    <w:rsid w:val="00AC657D"/>
    <w:rsid w:val="00AC7021"/>
    <w:rsid w:val="00AD2EFF"/>
    <w:rsid w:val="00AD4FAB"/>
    <w:rsid w:val="00AE5588"/>
    <w:rsid w:val="00AE5618"/>
    <w:rsid w:val="00AE5B15"/>
    <w:rsid w:val="00AF27FF"/>
    <w:rsid w:val="00AF4000"/>
    <w:rsid w:val="00B056F1"/>
    <w:rsid w:val="00B068C2"/>
    <w:rsid w:val="00B101A8"/>
    <w:rsid w:val="00B10238"/>
    <w:rsid w:val="00B105F6"/>
    <w:rsid w:val="00B10D9E"/>
    <w:rsid w:val="00B20C77"/>
    <w:rsid w:val="00B3052A"/>
    <w:rsid w:val="00B330BE"/>
    <w:rsid w:val="00B40653"/>
    <w:rsid w:val="00B40B76"/>
    <w:rsid w:val="00B538EE"/>
    <w:rsid w:val="00B555D2"/>
    <w:rsid w:val="00B6056C"/>
    <w:rsid w:val="00B61E42"/>
    <w:rsid w:val="00B632DF"/>
    <w:rsid w:val="00B70D65"/>
    <w:rsid w:val="00B71841"/>
    <w:rsid w:val="00B74B73"/>
    <w:rsid w:val="00B815F6"/>
    <w:rsid w:val="00B824BF"/>
    <w:rsid w:val="00B8672E"/>
    <w:rsid w:val="00B9146E"/>
    <w:rsid w:val="00BA2108"/>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888"/>
    <w:rsid w:val="00BE4AB7"/>
    <w:rsid w:val="00BE7F55"/>
    <w:rsid w:val="00BF00D2"/>
    <w:rsid w:val="00BF58DD"/>
    <w:rsid w:val="00BF727D"/>
    <w:rsid w:val="00C074DC"/>
    <w:rsid w:val="00C07DF5"/>
    <w:rsid w:val="00C10396"/>
    <w:rsid w:val="00C11AC9"/>
    <w:rsid w:val="00C16E49"/>
    <w:rsid w:val="00C17B86"/>
    <w:rsid w:val="00C252A2"/>
    <w:rsid w:val="00C267B1"/>
    <w:rsid w:val="00C26B81"/>
    <w:rsid w:val="00C2748B"/>
    <w:rsid w:val="00C32173"/>
    <w:rsid w:val="00C42296"/>
    <w:rsid w:val="00C43CBB"/>
    <w:rsid w:val="00C459A4"/>
    <w:rsid w:val="00C60110"/>
    <w:rsid w:val="00C642ED"/>
    <w:rsid w:val="00C67BE8"/>
    <w:rsid w:val="00C76367"/>
    <w:rsid w:val="00C80D7B"/>
    <w:rsid w:val="00C83DEF"/>
    <w:rsid w:val="00C92325"/>
    <w:rsid w:val="00C924D0"/>
    <w:rsid w:val="00C93956"/>
    <w:rsid w:val="00CA1A47"/>
    <w:rsid w:val="00CA1C05"/>
    <w:rsid w:val="00CA1D16"/>
    <w:rsid w:val="00CA2900"/>
    <w:rsid w:val="00CA2B92"/>
    <w:rsid w:val="00CA2DC3"/>
    <w:rsid w:val="00CB3982"/>
    <w:rsid w:val="00CB4E4E"/>
    <w:rsid w:val="00CB7722"/>
    <w:rsid w:val="00CC6D4B"/>
    <w:rsid w:val="00CD026E"/>
    <w:rsid w:val="00CD10D0"/>
    <w:rsid w:val="00CD2658"/>
    <w:rsid w:val="00CD26F6"/>
    <w:rsid w:val="00CD47C4"/>
    <w:rsid w:val="00CD50EA"/>
    <w:rsid w:val="00CE03FC"/>
    <w:rsid w:val="00CE48EB"/>
    <w:rsid w:val="00CE5A45"/>
    <w:rsid w:val="00CE70FA"/>
    <w:rsid w:val="00CE74DD"/>
    <w:rsid w:val="00CF1D80"/>
    <w:rsid w:val="00D02564"/>
    <w:rsid w:val="00D043C3"/>
    <w:rsid w:val="00D04C60"/>
    <w:rsid w:val="00D05FD3"/>
    <w:rsid w:val="00D06F9D"/>
    <w:rsid w:val="00D15467"/>
    <w:rsid w:val="00D160BA"/>
    <w:rsid w:val="00D16122"/>
    <w:rsid w:val="00D21BE4"/>
    <w:rsid w:val="00D26078"/>
    <w:rsid w:val="00D26399"/>
    <w:rsid w:val="00D31602"/>
    <w:rsid w:val="00D3549E"/>
    <w:rsid w:val="00D56874"/>
    <w:rsid w:val="00D62F1D"/>
    <w:rsid w:val="00D66D6D"/>
    <w:rsid w:val="00D84D67"/>
    <w:rsid w:val="00D91792"/>
    <w:rsid w:val="00D95C73"/>
    <w:rsid w:val="00DA09E0"/>
    <w:rsid w:val="00DB0698"/>
    <w:rsid w:val="00DB2DBF"/>
    <w:rsid w:val="00DB769A"/>
    <w:rsid w:val="00DC3AED"/>
    <w:rsid w:val="00DC5F26"/>
    <w:rsid w:val="00DC6077"/>
    <w:rsid w:val="00DD1D3F"/>
    <w:rsid w:val="00DD40D8"/>
    <w:rsid w:val="00DD5C2D"/>
    <w:rsid w:val="00DE06B0"/>
    <w:rsid w:val="00DE4E54"/>
    <w:rsid w:val="00E038A9"/>
    <w:rsid w:val="00E066EF"/>
    <w:rsid w:val="00E07BE8"/>
    <w:rsid w:val="00E143FD"/>
    <w:rsid w:val="00E16297"/>
    <w:rsid w:val="00E20DEB"/>
    <w:rsid w:val="00E26700"/>
    <w:rsid w:val="00E2724E"/>
    <w:rsid w:val="00E27A2C"/>
    <w:rsid w:val="00E31ED0"/>
    <w:rsid w:val="00E32446"/>
    <w:rsid w:val="00E35E20"/>
    <w:rsid w:val="00E364BE"/>
    <w:rsid w:val="00E42513"/>
    <w:rsid w:val="00E45265"/>
    <w:rsid w:val="00E50BE4"/>
    <w:rsid w:val="00E55A35"/>
    <w:rsid w:val="00E61AA1"/>
    <w:rsid w:val="00E63795"/>
    <w:rsid w:val="00E66841"/>
    <w:rsid w:val="00E73061"/>
    <w:rsid w:val="00E742DA"/>
    <w:rsid w:val="00E74873"/>
    <w:rsid w:val="00E75AD2"/>
    <w:rsid w:val="00E75F38"/>
    <w:rsid w:val="00E81F4E"/>
    <w:rsid w:val="00E83CEB"/>
    <w:rsid w:val="00E84986"/>
    <w:rsid w:val="00E864A6"/>
    <w:rsid w:val="00E918C0"/>
    <w:rsid w:val="00E920B2"/>
    <w:rsid w:val="00E93148"/>
    <w:rsid w:val="00E93501"/>
    <w:rsid w:val="00EA0A46"/>
    <w:rsid w:val="00EA39BC"/>
    <w:rsid w:val="00EA3F49"/>
    <w:rsid w:val="00EB1C1D"/>
    <w:rsid w:val="00EB452D"/>
    <w:rsid w:val="00EC0C41"/>
    <w:rsid w:val="00EC2976"/>
    <w:rsid w:val="00EC70E0"/>
    <w:rsid w:val="00ED0867"/>
    <w:rsid w:val="00ED3F98"/>
    <w:rsid w:val="00ED7CBB"/>
    <w:rsid w:val="00EE20D7"/>
    <w:rsid w:val="00EE3B89"/>
    <w:rsid w:val="00EE7A4B"/>
    <w:rsid w:val="00EF1ABF"/>
    <w:rsid w:val="00EF3F08"/>
    <w:rsid w:val="00EF68E5"/>
    <w:rsid w:val="00F154F1"/>
    <w:rsid w:val="00F15661"/>
    <w:rsid w:val="00F15ED2"/>
    <w:rsid w:val="00F168EA"/>
    <w:rsid w:val="00F22563"/>
    <w:rsid w:val="00F700CA"/>
    <w:rsid w:val="00F74664"/>
    <w:rsid w:val="00F75786"/>
    <w:rsid w:val="00F760AA"/>
    <w:rsid w:val="00FA1A60"/>
    <w:rsid w:val="00FA25D9"/>
    <w:rsid w:val="00FA41D2"/>
    <w:rsid w:val="00FB244A"/>
    <w:rsid w:val="00FB2C29"/>
    <w:rsid w:val="00FB71B9"/>
    <w:rsid w:val="00FC0911"/>
    <w:rsid w:val="00FC110A"/>
    <w:rsid w:val="00FC57E7"/>
    <w:rsid w:val="00FD22AD"/>
    <w:rsid w:val="00FD4950"/>
    <w:rsid w:val="00FD602D"/>
    <w:rsid w:val="00FE2799"/>
    <w:rsid w:val="00FE27F6"/>
    <w:rsid w:val="00FE4BF1"/>
    <w:rsid w:val="00FE4C5B"/>
    <w:rsid w:val="00FE543E"/>
    <w:rsid w:val="00FF0641"/>
    <w:rsid w:val="00FF3986"/>
    <w:rsid w:val="00FF6222"/>
    <w:rsid w:val="00FF74F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302">
      <w:bodyDiv w:val="1"/>
      <w:marLeft w:val="0"/>
      <w:marRight w:val="0"/>
      <w:marTop w:val="0"/>
      <w:marBottom w:val="0"/>
      <w:divBdr>
        <w:top w:val="none" w:sz="0" w:space="0" w:color="auto"/>
        <w:left w:val="none" w:sz="0" w:space="0" w:color="auto"/>
        <w:bottom w:val="none" w:sz="0" w:space="0" w:color="auto"/>
        <w:right w:val="none" w:sz="0" w:space="0" w:color="auto"/>
      </w:divBdr>
    </w:div>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39427305">
      <w:bodyDiv w:val="1"/>
      <w:marLeft w:val="0"/>
      <w:marRight w:val="0"/>
      <w:marTop w:val="0"/>
      <w:marBottom w:val="0"/>
      <w:divBdr>
        <w:top w:val="none" w:sz="0" w:space="0" w:color="auto"/>
        <w:left w:val="none" w:sz="0" w:space="0" w:color="auto"/>
        <w:bottom w:val="none" w:sz="0" w:space="0" w:color="auto"/>
        <w:right w:val="none" w:sz="0" w:space="0" w:color="auto"/>
      </w:divBdr>
      <w:divsChild>
        <w:div w:id="278337199">
          <w:marLeft w:val="0"/>
          <w:marRight w:val="0"/>
          <w:marTop w:val="0"/>
          <w:marBottom w:val="0"/>
          <w:divBdr>
            <w:top w:val="none" w:sz="0" w:space="0" w:color="auto"/>
            <w:left w:val="none" w:sz="0" w:space="0" w:color="auto"/>
            <w:bottom w:val="none" w:sz="0" w:space="0" w:color="auto"/>
            <w:right w:val="none" w:sz="0" w:space="0" w:color="auto"/>
          </w:divBdr>
        </w:div>
        <w:div w:id="817770348">
          <w:marLeft w:val="0"/>
          <w:marRight w:val="0"/>
          <w:marTop w:val="0"/>
          <w:marBottom w:val="0"/>
          <w:divBdr>
            <w:top w:val="none" w:sz="0" w:space="0" w:color="auto"/>
            <w:left w:val="none" w:sz="0" w:space="0" w:color="auto"/>
            <w:bottom w:val="none" w:sz="0" w:space="0" w:color="auto"/>
            <w:right w:val="none" w:sz="0" w:space="0" w:color="auto"/>
          </w:divBdr>
        </w:div>
      </w:divsChild>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 w:id="1838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67AB-4877-4D58-8A97-F08456B3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23</cp:revision>
  <cp:lastPrinted>2019-03-21T10:02:00Z</cp:lastPrinted>
  <dcterms:created xsi:type="dcterms:W3CDTF">2019-04-15T21:53:00Z</dcterms:created>
  <dcterms:modified xsi:type="dcterms:W3CDTF">2019-04-16T00:04:00Z</dcterms:modified>
</cp:coreProperties>
</file>