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F95FE" w14:textId="77777777" w:rsidR="00F4469B" w:rsidRDefault="00F4469B" w:rsidP="00B63603">
      <w:pPr>
        <w:tabs>
          <w:tab w:val="center" w:pos="4513"/>
          <w:tab w:val="right" w:pos="9026"/>
        </w:tabs>
        <w:spacing w:after="0" w:line="240" w:lineRule="auto"/>
        <w:rPr>
          <w:rFonts w:ascii="Arial" w:eastAsia="Arial Unicode MS" w:hAnsi="Arial" w:cs="Arial"/>
          <w:b/>
          <w:color w:val="000000"/>
          <w:u w:color="000000"/>
          <w:lang w:eastAsia="en-GB"/>
        </w:rPr>
      </w:pPr>
    </w:p>
    <w:p w14:paraId="569A2004" w14:textId="71CB251F" w:rsidR="00F4469B" w:rsidRPr="00F4469B" w:rsidRDefault="00F4469B" w:rsidP="00B63603">
      <w:pPr>
        <w:tabs>
          <w:tab w:val="center" w:pos="4513"/>
          <w:tab w:val="right" w:pos="9026"/>
        </w:tabs>
        <w:spacing w:after="0" w:line="240" w:lineRule="auto"/>
        <w:rPr>
          <w:rFonts w:eastAsia="Arial Unicode MS" w:cs="Arial"/>
          <w:b/>
          <w:color w:val="000000"/>
          <w:sz w:val="28"/>
          <w:szCs w:val="28"/>
          <w:u w:color="000000"/>
          <w:lang w:eastAsia="en-GB"/>
        </w:rPr>
      </w:pPr>
      <w:r w:rsidRPr="00F4469B">
        <w:rPr>
          <w:rFonts w:eastAsia="Arial Unicode MS" w:cs="Arial"/>
          <w:b/>
          <w:color w:val="000000"/>
          <w:sz w:val="28"/>
          <w:szCs w:val="28"/>
          <w:u w:color="000000"/>
          <w:lang w:eastAsia="en-GB"/>
        </w:rPr>
        <w:t>Paper C</w:t>
      </w:r>
    </w:p>
    <w:p w14:paraId="7D9A5E23" w14:textId="77777777" w:rsidR="0010239C" w:rsidRPr="00EB71D9" w:rsidRDefault="00B63603" w:rsidP="00B63603">
      <w:pPr>
        <w:tabs>
          <w:tab w:val="center" w:pos="4513"/>
          <w:tab w:val="right" w:pos="9026"/>
        </w:tabs>
        <w:spacing w:after="0" w:line="240" w:lineRule="auto"/>
        <w:rPr>
          <w:rFonts w:ascii="Arial" w:eastAsia="Arial Unicode MS" w:hAnsi="Arial" w:cs="Arial"/>
          <w:b/>
          <w:color w:val="000000"/>
          <w:u w:color="000000"/>
          <w:lang w:eastAsia="en-GB"/>
        </w:rPr>
      </w:pPr>
      <w:r w:rsidRPr="00EB71D9">
        <w:rPr>
          <w:rFonts w:ascii="Arial" w:eastAsia="Arial Unicode MS" w:hAnsi="Arial" w:cs="Arial"/>
          <w:b/>
          <w:color w:val="000000"/>
          <w:u w:color="000000"/>
          <w:lang w:eastAsia="en-GB"/>
        </w:rPr>
        <w:tab/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2F601A" w:rsidRPr="007A37D7" w14:paraId="5F72E81C" w14:textId="77777777" w:rsidTr="00833919">
        <w:trPr>
          <w:trHeight w:val="511"/>
          <w:jc w:val="center"/>
        </w:trPr>
        <w:tc>
          <w:tcPr>
            <w:tcW w:w="9528" w:type="dxa"/>
            <w:shd w:val="clear" w:color="auto" w:fill="4F6228" w:themeFill="accent3" w:themeFillShade="80"/>
            <w:vAlign w:val="center"/>
          </w:tcPr>
          <w:p w14:paraId="261A7122" w14:textId="58ACB0BE" w:rsidR="002F601A" w:rsidRPr="007A37D7" w:rsidRDefault="004B3D66" w:rsidP="004B3D6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4"/>
                <w:u w:color="000000"/>
                <w:lang w:eastAsia="en-GB"/>
              </w:rPr>
            </w:pPr>
            <w:r w:rsidRPr="007A37D7">
              <w:rPr>
                <w:rFonts w:ascii="Arial" w:eastAsia="Arial Unicode MS" w:hAnsi="Arial" w:cs="Arial"/>
                <w:b/>
                <w:color w:val="FFFFFF" w:themeColor="background1"/>
                <w:sz w:val="24"/>
                <w:u w:color="000000"/>
                <w:lang w:eastAsia="en-GB"/>
              </w:rPr>
              <w:t>ELRIUC - Activity &amp; Performance Update</w:t>
            </w:r>
          </w:p>
        </w:tc>
      </w:tr>
    </w:tbl>
    <w:tbl>
      <w:tblPr>
        <w:tblpPr w:leftFromText="180" w:rightFromText="180" w:vertAnchor="text" w:horzAnchor="margin" w:tblpXSpec="center" w:tblpY="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  <w:gridCol w:w="14"/>
      </w:tblGrid>
      <w:tr w:rsidR="0010239C" w:rsidRPr="00EB71D9" w14:paraId="667BAECD" w14:textId="77777777" w:rsidTr="004B3D66">
        <w:trPr>
          <w:gridAfter w:val="1"/>
          <w:wAfter w:w="12" w:type="dxa"/>
          <w:trHeight w:val="274"/>
        </w:trPr>
        <w:tc>
          <w:tcPr>
            <w:tcW w:w="9842" w:type="dxa"/>
            <w:shd w:val="clear" w:color="auto" w:fill="C2D69B" w:themeFill="accent3" w:themeFillTint="99"/>
          </w:tcPr>
          <w:p w14:paraId="15B54744" w14:textId="14543AB6" w:rsidR="004273A7" w:rsidRPr="00EB71D9" w:rsidRDefault="00EB71D9" w:rsidP="004273A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lang w:eastAsia="en-GB"/>
              </w:rPr>
            </w:pPr>
            <w:r>
              <w:rPr>
                <w:rFonts w:ascii="Arial" w:eastAsia="Arial Unicode MS" w:hAnsi="Arial" w:cs="Arial"/>
                <w:b/>
                <w:color w:val="000000"/>
                <w:u w:color="000000"/>
                <w:lang w:eastAsia="en-GB"/>
              </w:rPr>
              <w:t>Executive Summary</w:t>
            </w:r>
          </w:p>
        </w:tc>
      </w:tr>
      <w:tr w:rsidR="004273A7" w:rsidRPr="00EB71D9" w14:paraId="4808C944" w14:textId="77777777" w:rsidTr="004B3D66">
        <w:trPr>
          <w:gridAfter w:val="1"/>
          <w:wAfter w:w="12" w:type="dxa"/>
          <w:trHeight w:val="416"/>
        </w:trPr>
        <w:tc>
          <w:tcPr>
            <w:tcW w:w="9842" w:type="dxa"/>
            <w:shd w:val="clear" w:color="auto" w:fill="auto"/>
          </w:tcPr>
          <w:p w14:paraId="0EDE0F84" w14:textId="77777777" w:rsidR="001D501F" w:rsidRPr="006E7EA9" w:rsidRDefault="001D501F" w:rsidP="0083439D">
            <w:pPr>
              <w:spacing w:after="0" w:line="240" w:lineRule="auto"/>
              <w:jc w:val="both"/>
              <w:rPr>
                <w:rFonts w:ascii="Calibri" w:eastAsia="Arial Unicode MS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3C60F6ED" w14:textId="464F7AF8" w:rsidR="00E86B4E" w:rsidRDefault="00DE7660" w:rsidP="001D50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111% of contracted capacity provided April 19 (5813 slots)</w:t>
            </w:r>
          </w:p>
          <w:p w14:paraId="322849DE" w14:textId="77777777" w:rsidR="00DE7660" w:rsidRPr="00DE7660" w:rsidRDefault="00DE7660" w:rsidP="001D50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3.3% DNA rate , 149 appointments</w:t>
            </w:r>
          </w:p>
          <w:p w14:paraId="7D43128D" w14:textId="77777777" w:rsidR="00DE7660" w:rsidRDefault="00AF7E76" w:rsidP="001D50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54% Walked In; 35% booked via NHS111/CNH; 11% were booked by ELR GP Practices.</w:t>
            </w:r>
          </w:p>
          <w:p w14:paraId="112B9AF2" w14:textId="77777777" w:rsidR="00AF7E76" w:rsidRDefault="00AF7E76" w:rsidP="001D50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Oadby 68% Walk In</w:t>
            </w:r>
          </w:p>
          <w:p w14:paraId="239D4185" w14:textId="77777777" w:rsidR="00AF7E76" w:rsidRDefault="00AF7E76" w:rsidP="001D50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58% of activity ELRCCG patients ; 28% LCCCG patients</w:t>
            </w:r>
          </w:p>
          <w:p w14:paraId="6A895D8F" w14:textId="77777777" w:rsidR="00C06E34" w:rsidRPr="00C06E34" w:rsidRDefault="00AF7E76" w:rsidP="00C06E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  <w:r w:rsidRPr="00AF7E76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Oadby seeing more patients from LCCCG area (44%) than from ELRCCG area (43%)</w:t>
            </w:r>
          </w:p>
          <w:p w14:paraId="0218CB20" w14:textId="0C3535DD" w:rsidR="00C06E34" w:rsidRDefault="00C06E34" w:rsidP="00C06E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Performance exceptionally good 4hrs 99.9% ; 1hr 98%+</w:t>
            </w:r>
          </w:p>
          <w:p w14:paraId="53241E91" w14:textId="74054DF3" w:rsidR="00AF7E76" w:rsidRPr="00AF7E76" w:rsidRDefault="00AF7E76" w:rsidP="001D50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 w:rsidRPr="00AF7E76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To mitigate short 2.5hr shifts in the evening </w:t>
            </w: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– creative thinking </w:t>
            </w:r>
            <w:r w:rsidR="004B3D66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required </w:t>
            </w: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to combine and extend</w:t>
            </w:r>
            <w:r w:rsidRPr="00AF7E76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resource used in other </w:t>
            </w: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services</w:t>
            </w:r>
          </w:p>
          <w:p w14:paraId="1D26AC4E" w14:textId="77777777" w:rsidR="001D501F" w:rsidRPr="001D501F" w:rsidRDefault="001D501F" w:rsidP="001D50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F</w:t>
            </w:r>
            <w:r w:rsidRPr="001D501F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ragility in the resilience of provision</w:t>
            </w: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- </w:t>
            </w:r>
            <w:r w:rsidRPr="001D501F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single clinician manned locations as Commissioned.</w:t>
            </w:r>
          </w:p>
          <w:bookmarkEnd w:id="0"/>
          <w:p w14:paraId="76341B50" w14:textId="3B81CA85" w:rsidR="00AF7E76" w:rsidRPr="004B3D66" w:rsidRDefault="00AF7E76" w:rsidP="008815DE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3A7" w:rsidRPr="00EB71D9" w14:paraId="001C29B5" w14:textId="77777777" w:rsidTr="004B3D66">
        <w:tc>
          <w:tcPr>
            <w:tcW w:w="985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78C0B2" w14:textId="77777777" w:rsidR="004273A7" w:rsidRDefault="004273A7" w:rsidP="00E626D8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lang w:eastAsia="en-GB"/>
              </w:rPr>
            </w:pPr>
          </w:p>
          <w:p w14:paraId="452C5B44" w14:textId="77777777" w:rsidR="005B3366" w:rsidRDefault="005B3366" w:rsidP="00E626D8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lang w:eastAsia="en-GB"/>
              </w:rPr>
            </w:pPr>
          </w:p>
          <w:p w14:paraId="463526BE" w14:textId="77777777" w:rsidR="005B3366" w:rsidRPr="00EB71D9" w:rsidRDefault="005B3366" w:rsidP="00E626D8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lang w:eastAsia="en-GB"/>
              </w:rPr>
            </w:pPr>
          </w:p>
        </w:tc>
      </w:tr>
      <w:tr w:rsidR="004273A7" w:rsidRPr="00EB71D9" w14:paraId="112C6098" w14:textId="77777777" w:rsidTr="004B3D66">
        <w:tc>
          <w:tcPr>
            <w:tcW w:w="9854" w:type="dxa"/>
            <w:gridSpan w:val="2"/>
            <w:shd w:val="clear" w:color="auto" w:fill="C2D69B" w:themeFill="accent3" w:themeFillTint="99"/>
          </w:tcPr>
          <w:p w14:paraId="1C76B5E2" w14:textId="7D51D29C" w:rsidR="004273A7" w:rsidRPr="00EB71D9" w:rsidRDefault="004273A7" w:rsidP="00E626D8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lang w:eastAsia="en-GB"/>
              </w:rPr>
            </w:pPr>
            <w:r>
              <w:rPr>
                <w:rFonts w:ascii="Arial" w:eastAsia="Arial Unicode MS" w:hAnsi="Arial" w:cs="Arial"/>
                <w:b/>
                <w:color w:val="000000"/>
                <w:u w:color="000000"/>
                <w:lang w:eastAsia="en-GB"/>
              </w:rPr>
              <w:t>Report</w:t>
            </w:r>
          </w:p>
        </w:tc>
      </w:tr>
      <w:tr w:rsidR="004273A7" w:rsidRPr="00EB71D9" w14:paraId="187400A2" w14:textId="77777777" w:rsidTr="004B3D66">
        <w:trPr>
          <w:trHeight w:val="566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6E1916" w14:textId="243C2FF5" w:rsidR="00963CA3" w:rsidRPr="00047C2A" w:rsidRDefault="002B6A69" w:rsidP="00963CA3">
            <w:p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8"/>
                <w:szCs w:val="28"/>
                <w:u w:val="single"/>
                <w:lang w:eastAsia="en-GB"/>
              </w:rPr>
              <w:t>ELRIUC Contract</w:t>
            </w:r>
          </w:p>
          <w:p w14:paraId="25C5209C" w14:textId="77777777" w:rsidR="00963CA3" w:rsidRDefault="00963CA3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u w:val="single"/>
                <w:lang w:eastAsia="en-GB"/>
              </w:rPr>
            </w:pPr>
          </w:p>
          <w:p w14:paraId="6A10E509" w14:textId="31FE3F7E" w:rsidR="003830D4" w:rsidRDefault="003830D4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u w:val="single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u w:color="000000"/>
                <w:lang w:eastAsia="en-GB"/>
              </w:rPr>
              <w:t>The purpose of this report if to provide a summary update on key contractual activity and performance metrics in relation to the DHU ELR GPfed held contract for ELRIUC Services</w:t>
            </w:r>
          </w:p>
          <w:p w14:paraId="295C3299" w14:textId="77777777" w:rsidR="003830D4" w:rsidRDefault="003830D4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u w:val="single"/>
                <w:lang w:eastAsia="en-GB"/>
              </w:rPr>
            </w:pPr>
          </w:p>
          <w:p w14:paraId="65A79DA6" w14:textId="4BA354D9" w:rsidR="003830D4" w:rsidRPr="00BE6571" w:rsidRDefault="00C5042B" w:rsidP="00BE65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BE6571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u w:val="single"/>
                <w:lang w:eastAsia="en-GB"/>
              </w:rPr>
              <w:t>Capacity</w:t>
            </w:r>
          </w:p>
          <w:p w14:paraId="498BA719" w14:textId="77777777" w:rsidR="003830D4" w:rsidRDefault="003830D4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u w:val="single"/>
                <w:lang w:eastAsia="en-GB"/>
              </w:rPr>
            </w:pPr>
          </w:p>
          <w:p w14:paraId="0D963490" w14:textId="46E4DB44" w:rsidR="003830D4" w:rsidRDefault="001200E2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Taking the Year 1 FMT activity requirement and extrapolating into a monthly capacity number , the following table is produced showing the required number of slots / appointments which should be made available by location for April 19</w:t>
            </w:r>
          </w:p>
          <w:p w14:paraId="54BC9964" w14:textId="77777777" w:rsidR="001200E2" w:rsidRDefault="001200E2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046CE63C" w14:textId="4DBAECB2" w:rsidR="001200E2" w:rsidRPr="001200E2" w:rsidRDefault="001200E2" w:rsidP="00963CA3">
            <w:p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  <w:t>Fig</w:t>
            </w:r>
            <w:r w:rsidRPr="001200E2"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  <w:t xml:space="preserve"> 1</w:t>
            </w:r>
            <w:r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  <w:t>.</w:t>
            </w:r>
            <w:r w:rsidRPr="001200E2"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  <w:t xml:space="preserve"> Required Capacity April 19</w:t>
            </w:r>
          </w:p>
          <w:p w14:paraId="566B40EB" w14:textId="1282F464" w:rsidR="003830D4" w:rsidRDefault="003830D4" w:rsidP="003830D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Cs w:val="20"/>
                <w:u w:val="single"/>
                <w:lang w:eastAsia="en-GB"/>
              </w:rPr>
            </w:pPr>
            <w:r>
              <w:rPr>
                <w:rFonts w:ascii="Calibri" w:eastAsia="Arial Unicode MS" w:hAnsi="Calibri" w:cs="Calibri"/>
                <w:noProof/>
                <w:color w:val="000000"/>
                <w:szCs w:val="20"/>
                <w:u w:val="single"/>
                <w:lang w:eastAsia="en-GB"/>
              </w:rPr>
              <w:drawing>
                <wp:inline distT="0" distB="0" distL="0" distR="0" wp14:anchorId="42F0F7CA" wp14:editId="45CD8928">
                  <wp:extent cx="2334915" cy="122682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91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65195" w14:textId="77777777" w:rsidR="003830D4" w:rsidRDefault="003830D4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u w:val="single"/>
                <w:lang w:eastAsia="en-GB"/>
              </w:rPr>
            </w:pPr>
          </w:p>
          <w:p w14:paraId="53FADD5A" w14:textId="03A18FE3" w:rsidR="00C5042B" w:rsidRPr="00C5042B" w:rsidRDefault="00C5042B" w:rsidP="00963CA3">
            <w:p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5042B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u w:val="single"/>
                <w:lang w:eastAsia="en-GB"/>
              </w:rPr>
              <w:t>Appointment Provision &amp; Utilisation</w:t>
            </w:r>
          </w:p>
          <w:p w14:paraId="5A0A9B56" w14:textId="77777777" w:rsidR="00C5042B" w:rsidRDefault="00C5042B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u w:val="single"/>
                <w:lang w:eastAsia="en-GB"/>
              </w:rPr>
            </w:pPr>
          </w:p>
          <w:p w14:paraId="6694B5A4" w14:textId="11DCE15F" w:rsidR="003830D4" w:rsidRDefault="001200E2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 w:rsidRPr="001200E2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Fig</w:t>
            </w: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2</w:t>
            </w:r>
            <w:r w:rsidRPr="001200E2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. Below</w:t>
            </w: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then provides key appointment information extracted from the ELR S1 Unit, to illustrate the actual position delivered in April 19.</w:t>
            </w:r>
          </w:p>
          <w:p w14:paraId="61BEB095" w14:textId="77777777" w:rsidR="001200E2" w:rsidRDefault="001200E2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09380346" w14:textId="2D708AAD" w:rsidR="001200E2" w:rsidRDefault="001200E2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It can be seen that “Total Slots” provided was 5813. This is c600 higher than the contractually required level of 5218 and represents 111% of contracted requirement.</w:t>
            </w:r>
          </w:p>
          <w:p w14:paraId="698A47B3" w14:textId="77777777" w:rsidR="00DE7660" w:rsidRDefault="00DE7660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78ED9E14" w14:textId="01E96D4B" w:rsidR="00DE7660" w:rsidRPr="00AF7E76" w:rsidRDefault="00AF7E76" w:rsidP="00963CA3">
            <w:pPr>
              <w:spacing w:after="0" w:line="240" w:lineRule="auto"/>
              <w:rPr>
                <w:rFonts w:ascii="Calibri" w:eastAsia="Arial Unicode MS" w:hAnsi="Calibri" w:cs="Calibri"/>
                <w:i/>
                <w:color w:val="000000"/>
                <w:szCs w:val="20"/>
                <w:lang w:eastAsia="en-GB"/>
              </w:rPr>
            </w:pPr>
            <w:r w:rsidRPr="00AF7E76">
              <w:rPr>
                <w:rFonts w:ascii="Calibri" w:eastAsia="Arial Unicode MS" w:hAnsi="Calibri" w:cs="Calibri"/>
                <w:i/>
                <w:color w:val="000000"/>
                <w:szCs w:val="20"/>
                <w:lang w:eastAsia="en-GB"/>
              </w:rPr>
              <w:lastRenderedPageBreak/>
              <w:t xml:space="preserve">Note - </w:t>
            </w:r>
            <w:r w:rsidR="00DE7660" w:rsidRPr="00AF7E76">
              <w:rPr>
                <w:rFonts w:ascii="Calibri" w:eastAsia="Arial Unicode MS" w:hAnsi="Calibri" w:cs="Calibri"/>
                <w:i/>
                <w:color w:val="000000"/>
                <w:szCs w:val="20"/>
                <w:lang w:eastAsia="en-GB"/>
              </w:rPr>
              <w:t>In Oakham , Enderby and Lutterworth</w:t>
            </w:r>
            <w:r w:rsidRPr="00AF7E76">
              <w:rPr>
                <w:rFonts w:ascii="Calibri" w:eastAsia="Arial Unicode MS" w:hAnsi="Calibri" w:cs="Calibri"/>
                <w:i/>
                <w:color w:val="000000"/>
                <w:szCs w:val="20"/>
                <w:lang w:eastAsia="en-GB"/>
              </w:rPr>
              <w:t xml:space="preserve"> delivery of the required opening hours will result in slot volumes greater than contract being delivered simply as a result of ensuring that the single clinician is fully productive.</w:t>
            </w:r>
          </w:p>
          <w:p w14:paraId="4F303F59" w14:textId="77777777" w:rsidR="001200E2" w:rsidRDefault="001200E2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08FB16FF" w14:textId="23ADEA10" w:rsidR="001200E2" w:rsidRDefault="001200E2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This positively demonstrates that provision at total level exceeded requirement</w:t>
            </w:r>
          </w:p>
          <w:p w14:paraId="6EB04328" w14:textId="77777777" w:rsidR="00C5042B" w:rsidRDefault="00C5042B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7B0D5847" w14:textId="1B16DF94" w:rsidR="00C5042B" w:rsidRDefault="00C5042B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In DHUs experience of mobilising similar services, </w:t>
            </w:r>
            <w:r w:rsidR="009931DA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month 1 should be viewed positively</w:t>
            </w: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, particularly given that a number of the pathways have changed versus the prior service, and both awareness and confidence in the service are still at a formative stage.</w:t>
            </w:r>
          </w:p>
          <w:p w14:paraId="19BA0FE5" w14:textId="77777777" w:rsidR="00C5042B" w:rsidRDefault="00C5042B" w:rsidP="00963CA3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3454DCA1" w14:textId="474236CF" w:rsidR="001200E2" w:rsidRDefault="00C5042B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Whilst acknowledging that it would be rare to achieve 100% utilisation of appointments, there is clearly an opportunity for DHU , ELR GPfed and Commissioners to work collaboratively to further increase awareness thus increasing appropriate utilisation.</w:t>
            </w:r>
          </w:p>
          <w:p w14:paraId="523D8728" w14:textId="77777777" w:rsidR="00C5042B" w:rsidRDefault="00C5042B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1D76DFDA" w14:textId="0B6C2B14" w:rsidR="00C5042B" w:rsidRPr="00C5042B" w:rsidRDefault="00C5042B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At 3.3% (149 out of 4569) month 1 DNA rates are low (in comparison to DHU experience of other services)</w:t>
            </w:r>
          </w:p>
          <w:p w14:paraId="55ACB362" w14:textId="77777777" w:rsidR="00C5042B" w:rsidRDefault="00C5042B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805FE03" w14:textId="77777777" w:rsidR="001D501F" w:rsidRDefault="001D501F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D6AA053" w14:textId="58B7F3CA" w:rsidR="00C5042B" w:rsidRPr="00BE6571" w:rsidRDefault="00C5042B" w:rsidP="00BE65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BE6571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u w:val="single"/>
                <w:lang w:eastAsia="en-GB"/>
              </w:rPr>
              <w:t>Patient Access Pathways</w:t>
            </w:r>
          </w:p>
          <w:p w14:paraId="5E95754E" w14:textId="77777777" w:rsidR="00C5042B" w:rsidRDefault="00C5042B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6C2136B" w14:textId="19BB05DD" w:rsidR="00C5042B" w:rsidRDefault="00C5042B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When reviewi</w:t>
            </w:r>
            <w:r w:rsidR="009931DA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ng patient access pathways, Fig2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 xml:space="preserve"> below illustrates the percentage spilt between the 3 pathways: GP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Booked ;</w:t>
            </w:r>
            <w:proofErr w:type="gramEnd"/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 xml:space="preserve"> NHS111/CNH Booked ; and Walk In</w:t>
            </w:r>
            <w:r w:rsidR="007908AC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. It also provides the analysis at total and site level.</w:t>
            </w:r>
          </w:p>
          <w:p w14:paraId="6888B64B" w14:textId="77777777" w:rsidR="007908AC" w:rsidRDefault="007908AC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7D47AC4" w14:textId="079FFB6B" w:rsidR="007908AC" w:rsidRDefault="007908AC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Of the 4569 patients booked or seen in ELRIUC in April: 54% Walked In; 35% were booked via NHS111/CNH; and 11% were booked by ELR GP Practices.</w:t>
            </w:r>
          </w:p>
          <w:p w14:paraId="1F7CF6BD" w14:textId="77777777" w:rsidR="007908AC" w:rsidRDefault="007908AC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8127359" w14:textId="77212171" w:rsidR="007908AC" w:rsidRDefault="007908AC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 xml:space="preserve">In response to some feedback and concerns received in relation to whether services are positively accepting walk in patients, the information provided clearly demonstrates that this is the case. </w:t>
            </w:r>
          </w:p>
          <w:p w14:paraId="7B871FDF" w14:textId="77777777" w:rsidR="007908AC" w:rsidRDefault="007908AC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D3976CB" w14:textId="208F4E12" w:rsidR="00E9387F" w:rsidRDefault="007908AC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Significantly, at the busiest site (Oadby) over two thirds of patients attending do so as Walk Ins.</w:t>
            </w:r>
            <w:r w:rsidR="00E9387F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4B2D9FD" w14:textId="77777777" w:rsidR="00E9387F" w:rsidRDefault="00E9387F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0CDC153" w14:textId="09761062" w:rsidR="007908AC" w:rsidRDefault="00E9387F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 xml:space="preserve">Furthermore, given that the S1 appointment rotas established for Oadby set an initial provision of c55% Walk In, the fact that 67% of patients that are being booked or seen are walk ins, illustrates the flexibility and responsiveness of the service to accommodate </w:t>
            </w:r>
            <w:r w:rsidR="009931DA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where appropriate</w:t>
            </w:r>
            <w:r w:rsidR="009931DA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  <w:t xml:space="preserve"> those patients who do walk in, by utilising a slot not initially provisioned for walk in patients.</w:t>
            </w:r>
          </w:p>
          <w:p w14:paraId="240864C1" w14:textId="77777777" w:rsidR="00C5042B" w:rsidRDefault="00C5042B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10E17DA" w14:textId="18CF2BF0" w:rsidR="00C5042B" w:rsidRPr="00C5042B" w:rsidRDefault="009931DA" w:rsidP="002B6A69">
            <w:p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en-GB"/>
              </w:rPr>
              <w:t>Fig2</w:t>
            </w:r>
            <w:r w:rsidR="00C5042B" w:rsidRPr="00C5042B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en-GB"/>
              </w:rPr>
              <w:t>. Patient Pathways</w:t>
            </w:r>
            <w:r w:rsidR="00C5042B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April 19</w:t>
            </w:r>
          </w:p>
          <w:p w14:paraId="44B5FAEF" w14:textId="77777777" w:rsidR="00C5042B" w:rsidRPr="002B6A69" w:rsidRDefault="00C5042B" w:rsidP="002B6A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31A640D" w14:textId="1BB20E66" w:rsidR="00DE1784" w:rsidRDefault="001C0118" w:rsidP="001C011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noProof/>
                <w:color w:val="000000"/>
                <w:szCs w:val="20"/>
                <w:lang w:eastAsia="en-GB"/>
              </w:rPr>
              <w:drawing>
                <wp:inline distT="0" distB="0" distL="0" distR="0" wp14:anchorId="344E4B7B" wp14:editId="57834D3D">
                  <wp:extent cx="4095750" cy="1503589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50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032AE" w14:textId="77777777" w:rsidR="002B7969" w:rsidRDefault="002B7969" w:rsidP="001C011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00958EDF" w14:textId="77777777" w:rsid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The management of walk in patients is done with care by trained reception colleagues</w:t>
            </w:r>
          </w:p>
          <w:p w14:paraId="24C20F25" w14:textId="77777777" w:rsid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7BC62F13" w14:textId="43CBCBE0" w:rsidR="009931DA" w:rsidRP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 w:rsidRPr="009931DA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Walk Ins are accepted , and the </w:t>
            </w:r>
            <w:proofErr w:type="spellStart"/>
            <w:r w:rsidRPr="009931DA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DoS</w:t>
            </w:r>
            <w:proofErr w:type="spellEnd"/>
            <w:r w:rsidRPr="009931DA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has been profiled to allow</w:t>
            </w: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NHS111</w:t>
            </w:r>
            <w:r w:rsidRPr="009931DA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call advisors to recommend a patient to Walk in to an ELR service when NHS111 are unable to book an appointment</w:t>
            </w:r>
          </w:p>
          <w:p w14:paraId="7D08DA45" w14:textId="77777777" w:rsidR="009931DA" w:rsidRP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6FEA3619" w14:textId="77777777" w:rsid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 w:rsidRPr="009931DA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When Walk In patients present at a site - (as</w:t>
            </w: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per the SOP that is in place, and has been shared with </w:t>
            </w: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lastRenderedPageBreak/>
              <w:t xml:space="preserve">Commissioners) </w:t>
            </w:r>
            <w:r w:rsidRPr="009931DA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each patient will be reviewed on arrival and prioritised based on clinical need. </w:t>
            </w:r>
          </w:p>
          <w:p w14:paraId="7A980152" w14:textId="77777777" w:rsid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57AA7855" w14:textId="072A3DF8" w:rsidR="009931DA" w:rsidRP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 w:rsidRPr="009931DA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This may mean (where capacity is limited) that patients with non-urgent conditions are offered appointments later in the day; next day; or are referred to an alternative service.”    Urgent patients will always be seen.  </w:t>
            </w:r>
          </w:p>
          <w:p w14:paraId="314E5C45" w14:textId="77777777" w:rsidR="009931DA" w:rsidRP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1F8517BA" w14:textId="263689E0" w:rsidR="002B7969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 w:rsidRPr="009931DA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Continuing support, coaching and monitoring of the "messaging" being used by reception colleagues is occurring - Patients are not being told that walk ins cannot be accepted or that services do not accept walk ins</w:t>
            </w: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.</w:t>
            </w:r>
          </w:p>
          <w:p w14:paraId="3477A9C4" w14:textId="77777777" w:rsid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5BBF7E42" w14:textId="760C9C77" w:rsid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By way of monitoring, regular visits have been made to ELR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sites  (</w:t>
            </w:r>
            <w:proofErr w:type="spellStart"/>
            <w:proofErr w:type="gramEnd"/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Oadby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in particular) by Senior DHU Managers in order to observe; monitor; and feedback to reception colleagues.</w:t>
            </w:r>
          </w:p>
          <w:p w14:paraId="647B8B8D" w14:textId="77777777" w:rsid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0F35F672" w14:textId="77777777" w:rsid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These visits have provided internal assurance that processes are being followed.</w:t>
            </w:r>
          </w:p>
          <w:p w14:paraId="34089ADA" w14:textId="77777777" w:rsid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5CDB83FB" w14:textId="6CDEBC18" w:rsidR="009931DA" w:rsidRDefault="009931DA" w:rsidP="009931DA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Additionally, there has now been a Commissioner visit to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Oadby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, which has also reported very positive findings, in particular with regard to the manner and approach of the reception colleagues. </w:t>
            </w:r>
          </w:p>
          <w:p w14:paraId="7AA1374C" w14:textId="77777777" w:rsidR="002B7969" w:rsidRDefault="002B7969" w:rsidP="002B796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167D0A63" w14:textId="77777777" w:rsidR="001C0118" w:rsidRDefault="001C0118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560437C4" w14:textId="08C8FA19" w:rsidR="001C0118" w:rsidRPr="00BE6571" w:rsidRDefault="00E9387F" w:rsidP="00BE65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BE6571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u w:val="single"/>
                <w:lang w:eastAsia="en-GB"/>
              </w:rPr>
              <w:t>Patient Access by CCG and Practice</w:t>
            </w:r>
          </w:p>
          <w:p w14:paraId="20440C2E" w14:textId="77777777" w:rsidR="00C5042B" w:rsidRDefault="00C5042B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6D9411DB" w14:textId="22F4EE10" w:rsidR="00C5042B" w:rsidRDefault="009931DA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It can be seen below in Fig3</w:t>
            </w:r>
            <w:r w:rsidR="00E9387F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that whilst ELR CCG registered patients do comprise the majority of service users in April 19 at 58%, there is also a significant volume of patients attending ELRIUC locations who are registered with LCCCG </w:t>
            </w:r>
            <w:proofErr w:type="gramStart"/>
            <w:r w:rsidR="00E9387F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Practices ,</w:t>
            </w:r>
            <w:proofErr w:type="gramEnd"/>
            <w:r w:rsidR="00E9387F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28%.</w:t>
            </w:r>
          </w:p>
          <w:p w14:paraId="0CAC3744" w14:textId="77777777" w:rsidR="00E9387F" w:rsidRDefault="00E9387F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647DF3E5" w14:textId="79814470" w:rsidR="00C5042B" w:rsidRPr="00E9387F" w:rsidRDefault="009931DA" w:rsidP="00523B82">
            <w:p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  <w:t>Fig 3</w:t>
            </w:r>
            <w:r w:rsidR="00E9387F" w:rsidRPr="00E9387F"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  <w:t>. Usage by CCG</w:t>
            </w:r>
            <w:r w:rsidR="00E9387F"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  <w:t xml:space="preserve"> April 19</w:t>
            </w:r>
          </w:p>
          <w:p w14:paraId="4F02836A" w14:textId="77777777" w:rsidR="00C5042B" w:rsidRDefault="00C5042B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7ADC3A72" w14:textId="426A9D58" w:rsidR="001C0118" w:rsidRDefault="008B4881" w:rsidP="008B488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noProof/>
                <w:color w:val="000000"/>
                <w:szCs w:val="20"/>
                <w:lang w:eastAsia="en-GB"/>
              </w:rPr>
              <w:drawing>
                <wp:inline distT="0" distB="0" distL="0" distR="0" wp14:anchorId="51247CC4" wp14:editId="7F340D17">
                  <wp:extent cx="3911154" cy="9048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154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B20A5" w14:textId="77777777" w:rsidR="001C0118" w:rsidRDefault="001C0118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3EE05619" w14:textId="32F41E53" w:rsidR="001C0118" w:rsidRDefault="00E9387F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When reviewing the headline data by ELRIUC location, a number of themes can be identified</w:t>
            </w:r>
            <w:r w:rsidR="008815DE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(see Fig4</w:t>
            </w:r>
            <w:r w:rsidR="0094130E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below)</w:t>
            </w:r>
          </w:p>
          <w:p w14:paraId="3C4EFE61" w14:textId="77777777" w:rsidR="00E9387F" w:rsidRDefault="00E9387F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2F2F793F" w14:textId="4629D868" w:rsidR="00E9387F" w:rsidRDefault="00E9387F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There are predominantly ELR CCG registered patients using Melton Mowbray</w:t>
            </w:r>
            <w:r w:rsidR="0094130E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; Market Harborough;</w:t>
            </w: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and Oakham (ELR proportion over 80%)</w:t>
            </w:r>
          </w:p>
          <w:p w14:paraId="4E5FF2DC" w14:textId="77777777" w:rsidR="0094130E" w:rsidRDefault="0094130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51F4BD09" w14:textId="3504D750" w:rsidR="0094130E" w:rsidRDefault="0094130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65% of the volume being seen in Lutterworth is attributable to ELR CCG Patients, however there is a flow of c20% from WLCCG patients (possibly Hinckley &amp; Bosworth)</w:t>
            </w:r>
          </w:p>
          <w:p w14:paraId="15C4F820" w14:textId="77777777" w:rsidR="0094130E" w:rsidRDefault="0094130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4318A09C" w14:textId="77777777" w:rsidR="0094130E" w:rsidRDefault="0094130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Enderby (while 65% of patients of its patient flow is from ELR) is seeing c15% each from WLCCG and LCCCG, probably due to its proximity to CCG borders.</w:t>
            </w:r>
          </w:p>
          <w:p w14:paraId="14EADECC" w14:textId="77777777" w:rsidR="0094130E" w:rsidRDefault="0094130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11720344" w14:textId="47D7932B" w:rsidR="0094130E" w:rsidRDefault="0094130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Oadby significantly is seeing more patients from LCCCG area (44%) than from ELRCCG area (43%)</w:t>
            </w:r>
          </w:p>
          <w:p w14:paraId="133B5B2C" w14:textId="62FDF122" w:rsidR="0094130E" w:rsidRDefault="0094130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 </w:t>
            </w:r>
          </w:p>
          <w:p w14:paraId="341E92FF" w14:textId="77777777" w:rsidR="0094130E" w:rsidRDefault="0094130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3F53D62C" w14:textId="19D683C2" w:rsidR="001C0118" w:rsidRPr="0094130E" w:rsidRDefault="009931DA" w:rsidP="00523B82">
            <w:p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  <w:t>Fig 4</w:t>
            </w:r>
            <w:r w:rsidR="0094130E" w:rsidRPr="0094130E"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  <w:t>. Usage by CCG by ELRIUC location April 19</w:t>
            </w:r>
          </w:p>
          <w:p w14:paraId="0E4C2EB4" w14:textId="3A836E57" w:rsidR="001C0118" w:rsidRDefault="002600D6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noProof/>
                <w:color w:val="000000"/>
                <w:szCs w:val="20"/>
                <w:lang w:eastAsia="en-GB"/>
              </w:rPr>
              <w:lastRenderedPageBreak/>
              <w:drawing>
                <wp:inline distT="0" distB="0" distL="0" distR="0" wp14:anchorId="5EB4E4AA" wp14:editId="3A35BC3E">
                  <wp:extent cx="6172200" cy="75247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1AC2F" w14:textId="77777777" w:rsidR="001C0118" w:rsidRDefault="001C0118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4213E255" w14:textId="77777777" w:rsidR="0094130E" w:rsidRDefault="0094130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0FDEB3CB" w14:textId="7104DAC9" w:rsidR="0094130E" w:rsidRDefault="0094130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Information is also provided at a practice level in order to provide insight in relation to relative usage weighted by 10,000 Practice Population.</w:t>
            </w:r>
          </w:p>
          <w:p w14:paraId="624A3A71" w14:textId="77777777" w:rsidR="0094130E" w:rsidRDefault="0094130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231188BD" w14:textId="24B85FE9" w:rsidR="0094130E" w:rsidRDefault="008815D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Fig 5</w:t>
            </w:r>
            <w:r w:rsidR="0094130E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below provides a list of the Top 10 Practices (weighted) </w:t>
            </w:r>
            <w:r w:rsidR="00BE6571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in relation to usage of ELRIUC services.</w:t>
            </w:r>
          </w:p>
          <w:p w14:paraId="6F10D59C" w14:textId="77777777" w:rsidR="00BE6571" w:rsidRDefault="00BE6571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2A706712" w14:textId="51E26D8F" w:rsidR="00BE6571" w:rsidRDefault="00BE6571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Additionally, Appendix 1 provides the full ELR list for April 19, and Appendix 2 provides the full list of LCCCG Practice usage of ELRIUC services.</w:t>
            </w:r>
          </w:p>
          <w:p w14:paraId="40774FAE" w14:textId="77777777" w:rsidR="001C0118" w:rsidRDefault="001C0118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3435A56C" w14:textId="6B5D0033" w:rsidR="0094130E" w:rsidRPr="0094130E" w:rsidRDefault="008815DE" w:rsidP="00523B82">
            <w:p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  <w:t>Fig 5</w:t>
            </w:r>
            <w:r w:rsidR="0094130E" w:rsidRPr="0094130E"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  <w:t xml:space="preserve"> Top 10 Usage by ELR Practices by Weighted Population</w:t>
            </w:r>
          </w:p>
          <w:p w14:paraId="59D18ED3" w14:textId="77777777" w:rsidR="0094130E" w:rsidRDefault="0094130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183EC62B" w14:textId="4D629DBC" w:rsidR="00210701" w:rsidRDefault="00210701" w:rsidP="00AF7E7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noProof/>
                <w:color w:val="000000"/>
                <w:szCs w:val="20"/>
                <w:lang w:eastAsia="en-GB"/>
              </w:rPr>
              <w:drawing>
                <wp:inline distT="0" distB="0" distL="0" distR="0" wp14:anchorId="208CFCA6" wp14:editId="4421A309">
                  <wp:extent cx="4607845" cy="1882140"/>
                  <wp:effectExtent l="0" t="0" r="2540" b="381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845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1E548" w14:textId="77777777" w:rsidR="00BE6571" w:rsidRDefault="00BE6571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5615EF4B" w14:textId="775D6788" w:rsidR="00BE6571" w:rsidRPr="00BE6571" w:rsidRDefault="00BE6571" w:rsidP="00BE65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Cs w:val="20"/>
                <w:u w:val="single"/>
                <w:lang w:eastAsia="en-GB"/>
              </w:rPr>
            </w:pPr>
            <w:r w:rsidRPr="00BE6571">
              <w:rPr>
                <w:rFonts w:ascii="Calibri" w:eastAsia="Arial Unicode MS" w:hAnsi="Calibri" w:cs="Calibri"/>
                <w:b/>
                <w:color w:val="000000"/>
                <w:szCs w:val="20"/>
                <w:u w:val="single"/>
                <w:lang w:eastAsia="en-GB"/>
              </w:rPr>
              <w:t>Headline Performance</w:t>
            </w:r>
          </w:p>
          <w:p w14:paraId="2289FF11" w14:textId="77777777" w:rsidR="00BE6571" w:rsidRDefault="00BE6571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1E263809" w14:textId="0A072476" w:rsidR="00BE6571" w:rsidRDefault="00BE6571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DHU ELR GPfed are currently providing performance data to UHL for all sites against measured against Type 3, 4hr standard.</w:t>
            </w:r>
          </w:p>
          <w:p w14:paraId="4F0E6C3A" w14:textId="77777777" w:rsidR="00BE6571" w:rsidRDefault="00BE6571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721498BA" w14:textId="683AF36B" w:rsidR="00BE6571" w:rsidRDefault="008815DE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It can be seen below in Fig 6</w:t>
            </w:r>
            <w:r w:rsidR="00BE6571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that both Walk In and Pre-booked cohorts are being seen, treated and discharged within </w:t>
            </w:r>
            <w:proofErr w:type="gramStart"/>
            <w:r w:rsidR="00BE6571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4hrs ,</w:t>
            </w:r>
            <w:proofErr w:type="gramEnd"/>
            <w:r w:rsidR="00BE6571"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 xml:space="preserve"> 99.9% of the time in April 19 – an exceptional performance.</w:t>
            </w:r>
          </w:p>
          <w:p w14:paraId="0BEED8F3" w14:textId="77777777" w:rsidR="00BE6571" w:rsidRDefault="00BE6571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23E14CAE" w14:textId="77777777" w:rsidR="00BE6571" w:rsidRDefault="00BE6571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By way of demonstration that the care provided is immediate and responsive, performance against a 1hr target is also provided below.</w:t>
            </w:r>
          </w:p>
          <w:p w14:paraId="5F9BEBA8" w14:textId="77777777" w:rsidR="00BE6571" w:rsidRDefault="00BE6571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1547871B" w14:textId="77C94404" w:rsidR="00BE6571" w:rsidRDefault="00BE6571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  <w:t>This shows delivery of over 98% compliance against a 1hr standard, further underlining the responsiveness of the service delivered.</w:t>
            </w:r>
          </w:p>
          <w:p w14:paraId="5316CFE3" w14:textId="77777777" w:rsidR="00C06E34" w:rsidRDefault="00C06E34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184E8AE8" w14:textId="3B5BF8AC" w:rsidR="00210701" w:rsidRPr="00BE6571" w:rsidRDefault="008815DE" w:rsidP="00523B82">
            <w:p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  <w:t>Fig 6</w:t>
            </w:r>
            <w:r w:rsidR="00BE6571" w:rsidRPr="00BE6571">
              <w:rPr>
                <w:rFonts w:ascii="Calibri" w:eastAsia="Arial Unicode MS" w:hAnsi="Calibri" w:cs="Calibri"/>
                <w:b/>
                <w:color w:val="000000"/>
                <w:szCs w:val="20"/>
                <w:lang w:eastAsia="en-GB"/>
              </w:rPr>
              <w:t xml:space="preserve"> ELRIUC Performance vs 4hr and 1hr targets</w:t>
            </w:r>
          </w:p>
          <w:p w14:paraId="4C38388C" w14:textId="77777777" w:rsidR="00BE6571" w:rsidRDefault="00BE6571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1833ADB1" w14:textId="31D088C1" w:rsidR="00210701" w:rsidRDefault="00210701" w:rsidP="00BE657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Arial Unicode MS" w:hAnsi="Calibri" w:cs="Calibri"/>
                <w:noProof/>
                <w:color w:val="000000"/>
                <w:szCs w:val="20"/>
                <w:lang w:eastAsia="en-GB"/>
              </w:rPr>
              <w:lastRenderedPageBreak/>
              <w:drawing>
                <wp:inline distT="0" distB="0" distL="0" distR="0" wp14:anchorId="28102EF2" wp14:editId="36E4C56A">
                  <wp:extent cx="3238500" cy="141732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508" cy="141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B16C0" w14:textId="77777777" w:rsidR="00210701" w:rsidRDefault="00210701" w:rsidP="00523B82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  <w:p w14:paraId="6E825140" w14:textId="180B7D17" w:rsidR="001C0118" w:rsidRPr="00523B82" w:rsidRDefault="001C0118" w:rsidP="008815DE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Cs w:val="20"/>
                <w:lang w:eastAsia="en-GB"/>
              </w:rPr>
            </w:pPr>
          </w:p>
        </w:tc>
      </w:tr>
    </w:tbl>
    <w:p w14:paraId="7E5D17A7" w14:textId="77777777" w:rsidR="004273A7" w:rsidRDefault="004273A7" w:rsidP="0009366F">
      <w:pPr>
        <w:spacing w:after="0" w:line="240" w:lineRule="auto"/>
        <w:jc w:val="both"/>
        <w:rPr>
          <w:rFonts w:ascii="Arial" w:hAnsi="Arial" w:cs="Arial"/>
        </w:rPr>
      </w:pPr>
    </w:p>
    <w:p w14:paraId="2EEECE7C" w14:textId="74458CA7" w:rsidR="00963CA3" w:rsidRDefault="00963CA3" w:rsidP="00963CA3">
      <w:pPr>
        <w:rPr>
          <w:noProof/>
          <w:lang w:eastAsia="en-GB"/>
        </w:rPr>
        <w:sectPr w:rsidR="00963CA3" w:rsidSect="00963CA3">
          <w:head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35F2549" w14:textId="5E656504" w:rsidR="00B93E8F" w:rsidRDefault="00B93E8F" w:rsidP="00963CA3">
      <w:pPr>
        <w:spacing w:after="0" w:line="240" w:lineRule="auto"/>
      </w:pPr>
    </w:p>
    <w:p w14:paraId="72E140B0" w14:textId="14A13366" w:rsidR="00210701" w:rsidRDefault="00210701" w:rsidP="00963CA3">
      <w:pPr>
        <w:spacing w:after="0" w:line="240" w:lineRule="auto"/>
      </w:pPr>
      <w:r>
        <w:t>Appendix 1 – ELRIUC Usage by ELR Practices weighted by Practice Population – April 2019</w:t>
      </w:r>
    </w:p>
    <w:p w14:paraId="467B91E7" w14:textId="77777777" w:rsidR="00210701" w:rsidRDefault="00210701" w:rsidP="00963CA3">
      <w:pPr>
        <w:spacing w:after="0" w:line="240" w:lineRule="auto"/>
      </w:pPr>
    </w:p>
    <w:p w14:paraId="0D992F66" w14:textId="34D876AD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  <w:r w:rsidRPr="00210701">
        <w:rPr>
          <w:noProof/>
          <w:lang w:eastAsia="en-GB"/>
        </w:rPr>
        <w:drawing>
          <wp:inline distT="0" distB="0" distL="0" distR="0" wp14:anchorId="72CBD849" wp14:editId="05920929">
            <wp:extent cx="5731510" cy="5577738"/>
            <wp:effectExtent l="0" t="0" r="2540" b="444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7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49253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152E5DCF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3E5638E9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0CD20BDA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711D6F6D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1148A282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2A8F1D16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4F5B8FE3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06ABC877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07363E46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46FFAA05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592A4A32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466D4BD6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169F46A4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611F0538" w14:textId="7B992CBD" w:rsidR="00210701" w:rsidRDefault="00210701" w:rsidP="00210701">
      <w:pPr>
        <w:spacing w:after="0" w:line="240" w:lineRule="auto"/>
      </w:pPr>
      <w:r>
        <w:lastRenderedPageBreak/>
        <w:t>Appendix 2 – ELRIUC Usage by Leicester City Practices weighted by Practice Population – April 2019</w:t>
      </w:r>
    </w:p>
    <w:p w14:paraId="2ED19801" w14:textId="77777777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39C134FB" w14:textId="64AF44AE" w:rsidR="00210701" w:rsidRDefault="00210701" w:rsidP="00963CA3">
      <w:pPr>
        <w:spacing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  <w:r w:rsidRPr="00210701">
        <w:rPr>
          <w:noProof/>
          <w:lang w:eastAsia="en-GB"/>
        </w:rPr>
        <w:drawing>
          <wp:inline distT="0" distB="0" distL="0" distR="0" wp14:anchorId="08C8BBBA" wp14:editId="00A82FAF">
            <wp:extent cx="5733331" cy="8286750"/>
            <wp:effectExtent l="0" t="0" r="127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701" w:rsidSect="009A5329">
      <w:headerReference w:type="default" r:id="rId18"/>
      <w:footerReference w:type="defaul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45E59" w14:textId="77777777" w:rsidR="009931DA" w:rsidRDefault="009931DA" w:rsidP="00B63603">
      <w:pPr>
        <w:spacing w:after="0" w:line="240" w:lineRule="auto"/>
      </w:pPr>
      <w:r>
        <w:separator/>
      </w:r>
    </w:p>
  </w:endnote>
  <w:endnote w:type="continuationSeparator" w:id="0">
    <w:p w14:paraId="58D3CE0C" w14:textId="77777777" w:rsidR="009931DA" w:rsidRDefault="009931DA" w:rsidP="00B6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056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58C11" w14:textId="0F0A4916" w:rsidR="009931DA" w:rsidRDefault="009931DA" w:rsidP="00E12B5A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6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EB3AF9" w14:textId="77777777" w:rsidR="009931DA" w:rsidRDefault="00993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A8002" w14:textId="77777777" w:rsidR="009931DA" w:rsidRDefault="009931DA" w:rsidP="00B63603">
      <w:pPr>
        <w:spacing w:after="0" w:line="240" w:lineRule="auto"/>
      </w:pPr>
      <w:r>
        <w:separator/>
      </w:r>
    </w:p>
  </w:footnote>
  <w:footnote w:type="continuationSeparator" w:id="0">
    <w:p w14:paraId="60559E3A" w14:textId="77777777" w:rsidR="009931DA" w:rsidRDefault="009931DA" w:rsidP="00B6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9EA2" w14:textId="26E28CB0" w:rsidR="00F4469B" w:rsidRDefault="009931DA" w:rsidP="00F4469B">
    <w:pPr>
      <w:pStyle w:val="Header"/>
      <w:jc w:val="both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1C29CFE4" wp14:editId="38EB86B3">
          <wp:extent cx="988063" cy="617220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714" cy="617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0B85980" wp14:editId="0C6F86FB">
          <wp:extent cx="835611" cy="739140"/>
          <wp:effectExtent l="0" t="0" r="3175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815" cy="74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8F1E0" w14:textId="77777777" w:rsidR="009931DA" w:rsidRDefault="009931DA">
    <w:pPr>
      <w:pStyle w:val="Header"/>
    </w:pPr>
    <w:r>
      <w:rPr>
        <w:noProof/>
        <w:lang w:eastAsia="en-GB"/>
      </w:rPr>
      <w:drawing>
        <wp:inline distT="0" distB="0" distL="0" distR="0" wp14:anchorId="219F329F" wp14:editId="7365BB46">
          <wp:extent cx="736089" cy="2909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U HC CIC sma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89" cy="29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1A3"/>
    <w:multiLevelType w:val="hybridMultilevel"/>
    <w:tmpl w:val="AAB8FEC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274"/>
    <w:multiLevelType w:val="hybridMultilevel"/>
    <w:tmpl w:val="8AE8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59F0"/>
    <w:multiLevelType w:val="hybridMultilevel"/>
    <w:tmpl w:val="4D1A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4308C"/>
    <w:multiLevelType w:val="hybridMultilevel"/>
    <w:tmpl w:val="5D0A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84131"/>
    <w:multiLevelType w:val="hybridMultilevel"/>
    <w:tmpl w:val="883CFE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640E"/>
    <w:multiLevelType w:val="hybridMultilevel"/>
    <w:tmpl w:val="76CA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94FC1"/>
    <w:multiLevelType w:val="hybridMultilevel"/>
    <w:tmpl w:val="CAF6B7CE"/>
    <w:lvl w:ilvl="0" w:tplc="9E7C6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4E06"/>
    <w:multiLevelType w:val="hybridMultilevel"/>
    <w:tmpl w:val="5E7E8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448B"/>
    <w:multiLevelType w:val="hybridMultilevel"/>
    <w:tmpl w:val="0994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905E4"/>
    <w:multiLevelType w:val="hybridMultilevel"/>
    <w:tmpl w:val="56CAF0E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C5BC2"/>
    <w:multiLevelType w:val="hybridMultilevel"/>
    <w:tmpl w:val="14AA25B2"/>
    <w:lvl w:ilvl="0" w:tplc="67FE00AC">
      <w:start w:val="1"/>
      <w:numFmt w:val="lowerLetter"/>
      <w:lvlText w:val="(%1)"/>
      <w:lvlJc w:val="left"/>
      <w:pPr>
        <w:ind w:left="1080" w:hanging="720"/>
      </w:pPr>
      <w:rPr>
        <w:rFonts w:ascii="Calibri" w:eastAsia="Arial Unicode MS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F56CB"/>
    <w:multiLevelType w:val="hybridMultilevel"/>
    <w:tmpl w:val="7D28D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12D57"/>
    <w:multiLevelType w:val="hybridMultilevel"/>
    <w:tmpl w:val="55C6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87F92"/>
    <w:multiLevelType w:val="hybridMultilevel"/>
    <w:tmpl w:val="9C0E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90365"/>
    <w:multiLevelType w:val="hybridMultilevel"/>
    <w:tmpl w:val="C6AC6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25BE5"/>
    <w:multiLevelType w:val="hybridMultilevel"/>
    <w:tmpl w:val="3DBE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2202E"/>
    <w:multiLevelType w:val="hybridMultilevel"/>
    <w:tmpl w:val="93F4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95AE1"/>
    <w:multiLevelType w:val="hybridMultilevel"/>
    <w:tmpl w:val="6F740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F7556"/>
    <w:multiLevelType w:val="hybridMultilevel"/>
    <w:tmpl w:val="8786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77EF3"/>
    <w:multiLevelType w:val="hybridMultilevel"/>
    <w:tmpl w:val="02F8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D222E"/>
    <w:multiLevelType w:val="hybridMultilevel"/>
    <w:tmpl w:val="DCF67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A065E"/>
    <w:multiLevelType w:val="hybridMultilevel"/>
    <w:tmpl w:val="2B42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A5B02"/>
    <w:multiLevelType w:val="hybridMultilevel"/>
    <w:tmpl w:val="4ABEDB2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D7D7E"/>
    <w:multiLevelType w:val="hybridMultilevel"/>
    <w:tmpl w:val="52FA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00458"/>
    <w:multiLevelType w:val="hybridMultilevel"/>
    <w:tmpl w:val="C6E8493E"/>
    <w:lvl w:ilvl="0" w:tplc="9E7C6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F7BF9"/>
    <w:multiLevelType w:val="hybridMultilevel"/>
    <w:tmpl w:val="B7A00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8"/>
  </w:num>
  <w:num w:numId="5">
    <w:abstractNumId w:val="4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16"/>
  </w:num>
  <w:num w:numId="11">
    <w:abstractNumId w:val="24"/>
  </w:num>
  <w:num w:numId="12">
    <w:abstractNumId w:val="6"/>
  </w:num>
  <w:num w:numId="13">
    <w:abstractNumId w:val="20"/>
  </w:num>
  <w:num w:numId="14">
    <w:abstractNumId w:val="3"/>
  </w:num>
  <w:num w:numId="15">
    <w:abstractNumId w:val="21"/>
  </w:num>
  <w:num w:numId="16">
    <w:abstractNumId w:val="19"/>
  </w:num>
  <w:num w:numId="17">
    <w:abstractNumId w:val="23"/>
  </w:num>
  <w:num w:numId="18">
    <w:abstractNumId w:val="17"/>
  </w:num>
  <w:num w:numId="19">
    <w:abstractNumId w:val="1"/>
  </w:num>
  <w:num w:numId="20">
    <w:abstractNumId w:val="14"/>
  </w:num>
  <w:num w:numId="21">
    <w:abstractNumId w:val="9"/>
  </w:num>
  <w:num w:numId="22">
    <w:abstractNumId w:val="0"/>
  </w:num>
  <w:num w:numId="23">
    <w:abstractNumId w:val="2"/>
  </w:num>
  <w:num w:numId="24">
    <w:abstractNumId w:val="22"/>
  </w:num>
  <w:num w:numId="25">
    <w:abstractNumId w:val="15"/>
  </w:num>
  <w:num w:numId="2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9C"/>
    <w:rsid w:val="00000185"/>
    <w:rsid w:val="00003855"/>
    <w:rsid w:val="00003CA8"/>
    <w:rsid w:val="00013771"/>
    <w:rsid w:val="000152C9"/>
    <w:rsid w:val="0001715F"/>
    <w:rsid w:val="000235B1"/>
    <w:rsid w:val="0003344E"/>
    <w:rsid w:val="00041B95"/>
    <w:rsid w:val="00041B98"/>
    <w:rsid w:val="00047C2A"/>
    <w:rsid w:val="0008026A"/>
    <w:rsid w:val="00084653"/>
    <w:rsid w:val="00087406"/>
    <w:rsid w:val="0009366F"/>
    <w:rsid w:val="000A0467"/>
    <w:rsid w:val="000B5325"/>
    <w:rsid w:val="000C4D7A"/>
    <w:rsid w:val="000F67A5"/>
    <w:rsid w:val="0010239C"/>
    <w:rsid w:val="0011235C"/>
    <w:rsid w:val="00113FCA"/>
    <w:rsid w:val="001200E2"/>
    <w:rsid w:val="001233CF"/>
    <w:rsid w:val="00125BE2"/>
    <w:rsid w:val="0015769D"/>
    <w:rsid w:val="00165E31"/>
    <w:rsid w:val="00174BC4"/>
    <w:rsid w:val="00183CC4"/>
    <w:rsid w:val="00193E19"/>
    <w:rsid w:val="00197D2E"/>
    <w:rsid w:val="001A36AD"/>
    <w:rsid w:val="001A3EB0"/>
    <w:rsid w:val="001A6891"/>
    <w:rsid w:val="001B2157"/>
    <w:rsid w:val="001B69FA"/>
    <w:rsid w:val="001B7B80"/>
    <w:rsid w:val="001C0118"/>
    <w:rsid w:val="001C0174"/>
    <w:rsid w:val="001C6C1D"/>
    <w:rsid w:val="001D3923"/>
    <w:rsid w:val="001D41B7"/>
    <w:rsid w:val="001D501F"/>
    <w:rsid w:val="001D5EE0"/>
    <w:rsid w:val="001D6D02"/>
    <w:rsid w:val="0020115A"/>
    <w:rsid w:val="00210701"/>
    <w:rsid w:val="002179B4"/>
    <w:rsid w:val="002259F1"/>
    <w:rsid w:val="00230AA4"/>
    <w:rsid w:val="00234314"/>
    <w:rsid w:val="002354EB"/>
    <w:rsid w:val="002429AD"/>
    <w:rsid w:val="00245201"/>
    <w:rsid w:val="0024583B"/>
    <w:rsid w:val="00256CA4"/>
    <w:rsid w:val="002600D6"/>
    <w:rsid w:val="00263B0C"/>
    <w:rsid w:val="0027765C"/>
    <w:rsid w:val="002A1E36"/>
    <w:rsid w:val="002A22CB"/>
    <w:rsid w:val="002A2A8C"/>
    <w:rsid w:val="002A4FA9"/>
    <w:rsid w:val="002A5BCE"/>
    <w:rsid w:val="002B36FE"/>
    <w:rsid w:val="002B6A69"/>
    <w:rsid w:val="002B7969"/>
    <w:rsid w:val="002C18A7"/>
    <w:rsid w:val="002C67C2"/>
    <w:rsid w:val="002C6B5B"/>
    <w:rsid w:val="002C6D41"/>
    <w:rsid w:val="002D33FD"/>
    <w:rsid w:val="002D3657"/>
    <w:rsid w:val="002D4FF0"/>
    <w:rsid w:val="002D779E"/>
    <w:rsid w:val="002E42C2"/>
    <w:rsid w:val="002E6B15"/>
    <w:rsid w:val="002F601A"/>
    <w:rsid w:val="002F758C"/>
    <w:rsid w:val="00300B82"/>
    <w:rsid w:val="003033F8"/>
    <w:rsid w:val="00304B88"/>
    <w:rsid w:val="003109BF"/>
    <w:rsid w:val="00321443"/>
    <w:rsid w:val="003239D4"/>
    <w:rsid w:val="0032418C"/>
    <w:rsid w:val="00330D21"/>
    <w:rsid w:val="003338EA"/>
    <w:rsid w:val="00333A36"/>
    <w:rsid w:val="00340B4B"/>
    <w:rsid w:val="00343DA0"/>
    <w:rsid w:val="003456D3"/>
    <w:rsid w:val="00345FE1"/>
    <w:rsid w:val="0035011F"/>
    <w:rsid w:val="00353697"/>
    <w:rsid w:val="003647B8"/>
    <w:rsid w:val="0037274A"/>
    <w:rsid w:val="003804B4"/>
    <w:rsid w:val="00380A46"/>
    <w:rsid w:val="003830D4"/>
    <w:rsid w:val="003A2F80"/>
    <w:rsid w:val="003B06B0"/>
    <w:rsid w:val="003B33C6"/>
    <w:rsid w:val="003B3D91"/>
    <w:rsid w:val="003C3362"/>
    <w:rsid w:val="003C34F3"/>
    <w:rsid w:val="003C6112"/>
    <w:rsid w:val="003D60F4"/>
    <w:rsid w:val="003E7742"/>
    <w:rsid w:val="003F6031"/>
    <w:rsid w:val="003F7DF2"/>
    <w:rsid w:val="00405077"/>
    <w:rsid w:val="00411105"/>
    <w:rsid w:val="00411904"/>
    <w:rsid w:val="00412814"/>
    <w:rsid w:val="00416FA0"/>
    <w:rsid w:val="00417BB0"/>
    <w:rsid w:val="00423AEF"/>
    <w:rsid w:val="0042575E"/>
    <w:rsid w:val="004273A7"/>
    <w:rsid w:val="00434100"/>
    <w:rsid w:val="00434187"/>
    <w:rsid w:val="004537EF"/>
    <w:rsid w:val="0046276A"/>
    <w:rsid w:val="0047187A"/>
    <w:rsid w:val="00481566"/>
    <w:rsid w:val="00482D64"/>
    <w:rsid w:val="00485370"/>
    <w:rsid w:val="0048792E"/>
    <w:rsid w:val="004B3D66"/>
    <w:rsid w:val="004B4357"/>
    <w:rsid w:val="004B5AFB"/>
    <w:rsid w:val="004C53AD"/>
    <w:rsid w:val="004C7E78"/>
    <w:rsid w:val="004D7076"/>
    <w:rsid w:val="004F1C07"/>
    <w:rsid w:val="004F5109"/>
    <w:rsid w:val="00502354"/>
    <w:rsid w:val="00510B4F"/>
    <w:rsid w:val="00515673"/>
    <w:rsid w:val="00521DA8"/>
    <w:rsid w:val="00523B82"/>
    <w:rsid w:val="0053432A"/>
    <w:rsid w:val="005628DD"/>
    <w:rsid w:val="00570297"/>
    <w:rsid w:val="00587023"/>
    <w:rsid w:val="00594061"/>
    <w:rsid w:val="005B0B18"/>
    <w:rsid w:val="005B172B"/>
    <w:rsid w:val="005B3366"/>
    <w:rsid w:val="005B5110"/>
    <w:rsid w:val="005C4166"/>
    <w:rsid w:val="005C4F56"/>
    <w:rsid w:val="005D5E8B"/>
    <w:rsid w:val="005F55E7"/>
    <w:rsid w:val="00605329"/>
    <w:rsid w:val="00612E3C"/>
    <w:rsid w:val="00613E9A"/>
    <w:rsid w:val="00623BB4"/>
    <w:rsid w:val="00632E26"/>
    <w:rsid w:val="006339BC"/>
    <w:rsid w:val="00634D91"/>
    <w:rsid w:val="006350B4"/>
    <w:rsid w:val="00635385"/>
    <w:rsid w:val="00635AE7"/>
    <w:rsid w:val="00637E37"/>
    <w:rsid w:val="00653311"/>
    <w:rsid w:val="00666884"/>
    <w:rsid w:val="0068269F"/>
    <w:rsid w:val="00690D70"/>
    <w:rsid w:val="00691C3E"/>
    <w:rsid w:val="00696C69"/>
    <w:rsid w:val="006A1D7E"/>
    <w:rsid w:val="006A48A9"/>
    <w:rsid w:val="006A6929"/>
    <w:rsid w:val="006B67D7"/>
    <w:rsid w:val="006C3B29"/>
    <w:rsid w:val="006C4F67"/>
    <w:rsid w:val="006C75C1"/>
    <w:rsid w:val="006D6535"/>
    <w:rsid w:val="006D7346"/>
    <w:rsid w:val="006E00C7"/>
    <w:rsid w:val="006E0DEE"/>
    <w:rsid w:val="006E15BA"/>
    <w:rsid w:val="006E7EA9"/>
    <w:rsid w:val="006F1716"/>
    <w:rsid w:val="006F3697"/>
    <w:rsid w:val="006F651E"/>
    <w:rsid w:val="00702F36"/>
    <w:rsid w:val="0071441E"/>
    <w:rsid w:val="007231BE"/>
    <w:rsid w:val="00723C44"/>
    <w:rsid w:val="00740355"/>
    <w:rsid w:val="007411CC"/>
    <w:rsid w:val="00773177"/>
    <w:rsid w:val="0077444C"/>
    <w:rsid w:val="00775B7E"/>
    <w:rsid w:val="0077659B"/>
    <w:rsid w:val="007770E1"/>
    <w:rsid w:val="007901C5"/>
    <w:rsid w:val="007908AC"/>
    <w:rsid w:val="007A266B"/>
    <w:rsid w:val="007A37D7"/>
    <w:rsid w:val="007B1540"/>
    <w:rsid w:val="007C4032"/>
    <w:rsid w:val="007E3099"/>
    <w:rsid w:val="007E61B0"/>
    <w:rsid w:val="007E65C8"/>
    <w:rsid w:val="007E665F"/>
    <w:rsid w:val="00804979"/>
    <w:rsid w:val="008233D5"/>
    <w:rsid w:val="00830EC0"/>
    <w:rsid w:val="00833919"/>
    <w:rsid w:val="0083439D"/>
    <w:rsid w:val="00842D13"/>
    <w:rsid w:val="00846118"/>
    <w:rsid w:val="008608D3"/>
    <w:rsid w:val="00863057"/>
    <w:rsid w:val="008706DF"/>
    <w:rsid w:val="008815DE"/>
    <w:rsid w:val="00882483"/>
    <w:rsid w:val="008A6A04"/>
    <w:rsid w:val="008B33E9"/>
    <w:rsid w:val="008B38F9"/>
    <w:rsid w:val="008B3E45"/>
    <w:rsid w:val="008B4881"/>
    <w:rsid w:val="008C0D8C"/>
    <w:rsid w:val="008C1670"/>
    <w:rsid w:val="008C1E44"/>
    <w:rsid w:val="008C77F9"/>
    <w:rsid w:val="008D087D"/>
    <w:rsid w:val="008D1045"/>
    <w:rsid w:val="008D22ED"/>
    <w:rsid w:val="008D257E"/>
    <w:rsid w:val="008E55E9"/>
    <w:rsid w:val="008E5B49"/>
    <w:rsid w:val="0094130E"/>
    <w:rsid w:val="00947A15"/>
    <w:rsid w:val="00952B2C"/>
    <w:rsid w:val="00952E5E"/>
    <w:rsid w:val="00953E6F"/>
    <w:rsid w:val="009575BD"/>
    <w:rsid w:val="0096240F"/>
    <w:rsid w:val="00963CA3"/>
    <w:rsid w:val="00963E79"/>
    <w:rsid w:val="009715AB"/>
    <w:rsid w:val="009931DA"/>
    <w:rsid w:val="009937EC"/>
    <w:rsid w:val="009A5329"/>
    <w:rsid w:val="009B1300"/>
    <w:rsid w:val="009C4225"/>
    <w:rsid w:val="009C44C4"/>
    <w:rsid w:val="009C63A4"/>
    <w:rsid w:val="009D3680"/>
    <w:rsid w:val="009D528D"/>
    <w:rsid w:val="009D54AC"/>
    <w:rsid w:val="009F0471"/>
    <w:rsid w:val="00A0091F"/>
    <w:rsid w:val="00A028A7"/>
    <w:rsid w:val="00A059A6"/>
    <w:rsid w:val="00A07EBE"/>
    <w:rsid w:val="00A238B9"/>
    <w:rsid w:val="00A31650"/>
    <w:rsid w:val="00A316C1"/>
    <w:rsid w:val="00A47065"/>
    <w:rsid w:val="00A4710E"/>
    <w:rsid w:val="00A53E72"/>
    <w:rsid w:val="00A64C4B"/>
    <w:rsid w:val="00A90E92"/>
    <w:rsid w:val="00AA5D01"/>
    <w:rsid w:val="00AD1555"/>
    <w:rsid w:val="00AE103A"/>
    <w:rsid w:val="00AE680B"/>
    <w:rsid w:val="00AE7062"/>
    <w:rsid w:val="00AF7E76"/>
    <w:rsid w:val="00B0234E"/>
    <w:rsid w:val="00B06259"/>
    <w:rsid w:val="00B06E8F"/>
    <w:rsid w:val="00B1043D"/>
    <w:rsid w:val="00B111ED"/>
    <w:rsid w:val="00B13882"/>
    <w:rsid w:val="00B16BCB"/>
    <w:rsid w:val="00B17357"/>
    <w:rsid w:val="00B25FC2"/>
    <w:rsid w:val="00B3088C"/>
    <w:rsid w:val="00B309A6"/>
    <w:rsid w:val="00B33BBC"/>
    <w:rsid w:val="00B409EA"/>
    <w:rsid w:val="00B56E9D"/>
    <w:rsid w:val="00B602D0"/>
    <w:rsid w:val="00B63603"/>
    <w:rsid w:val="00B64C53"/>
    <w:rsid w:val="00B66462"/>
    <w:rsid w:val="00B727A4"/>
    <w:rsid w:val="00B768AB"/>
    <w:rsid w:val="00B809F1"/>
    <w:rsid w:val="00B93E8F"/>
    <w:rsid w:val="00B973A5"/>
    <w:rsid w:val="00BA061B"/>
    <w:rsid w:val="00BA3DB6"/>
    <w:rsid w:val="00BB18F2"/>
    <w:rsid w:val="00BC7053"/>
    <w:rsid w:val="00BD2698"/>
    <w:rsid w:val="00BE203C"/>
    <w:rsid w:val="00BE6571"/>
    <w:rsid w:val="00BF131F"/>
    <w:rsid w:val="00BF49B1"/>
    <w:rsid w:val="00BF6066"/>
    <w:rsid w:val="00BF67D0"/>
    <w:rsid w:val="00C01277"/>
    <w:rsid w:val="00C06E34"/>
    <w:rsid w:val="00C12829"/>
    <w:rsid w:val="00C22A84"/>
    <w:rsid w:val="00C3378E"/>
    <w:rsid w:val="00C47694"/>
    <w:rsid w:val="00C5042B"/>
    <w:rsid w:val="00C64F7A"/>
    <w:rsid w:val="00C66877"/>
    <w:rsid w:val="00C73581"/>
    <w:rsid w:val="00C753A3"/>
    <w:rsid w:val="00C778C4"/>
    <w:rsid w:val="00CA0EC5"/>
    <w:rsid w:val="00CC1A5B"/>
    <w:rsid w:val="00CC6E7F"/>
    <w:rsid w:val="00CD0C5C"/>
    <w:rsid w:val="00CD4A31"/>
    <w:rsid w:val="00CE0AF6"/>
    <w:rsid w:val="00CE1676"/>
    <w:rsid w:val="00CE434F"/>
    <w:rsid w:val="00CE51B3"/>
    <w:rsid w:val="00CF07C8"/>
    <w:rsid w:val="00CF58CA"/>
    <w:rsid w:val="00D1461C"/>
    <w:rsid w:val="00D402BF"/>
    <w:rsid w:val="00D44BDB"/>
    <w:rsid w:val="00D45427"/>
    <w:rsid w:val="00D57CD9"/>
    <w:rsid w:val="00D66F10"/>
    <w:rsid w:val="00D77F72"/>
    <w:rsid w:val="00D84F68"/>
    <w:rsid w:val="00D9171E"/>
    <w:rsid w:val="00DA1F14"/>
    <w:rsid w:val="00DA7EAC"/>
    <w:rsid w:val="00DC49CF"/>
    <w:rsid w:val="00DD1355"/>
    <w:rsid w:val="00DD336D"/>
    <w:rsid w:val="00DE00DD"/>
    <w:rsid w:val="00DE1784"/>
    <w:rsid w:val="00DE3CD3"/>
    <w:rsid w:val="00DE7619"/>
    <w:rsid w:val="00DE7660"/>
    <w:rsid w:val="00E07992"/>
    <w:rsid w:val="00E12B5A"/>
    <w:rsid w:val="00E16081"/>
    <w:rsid w:val="00E17BA8"/>
    <w:rsid w:val="00E24CCA"/>
    <w:rsid w:val="00E36701"/>
    <w:rsid w:val="00E40DBB"/>
    <w:rsid w:val="00E4130A"/>
    <w:rsid w:val="00E568E1"/>
    <w:rsid w:val="00E57D65"/>
    <w:rsid w:val="00E626D8"/>
    <w:rsid w:val="00E72B2F"/>
    <w:rsid w:val="00E72F9F"/>
    <w:rsid w:val="00E8654D"/>
    <w:rsid w:val="00E86B4E"/>
    <w:rsid w:val="00E921B1"/>
    <w:rsid w:val="00E9387F"/>
    <w:rsid w:val="00E952B1"/>
    <w:rsid w:val="00E97B63"/>
    <w:rsid w:val="00EB14DA"/>
    <w:rsid w:val="00EB46FB"/>
    <w:rsid w:val="00EB71D9"/>
    <w:rsid w:val="00EC353A"/>
    <w:rsid w:val="00EC4C42"/>
    <w:rsid w:val="00ED1A37"/>
    <w:rsid w:val="00ED5476"/>
    <w:rsid w:val="00EE0F0D"/>
    <w:rsid w:val="00EE2C52"/>
    <w:rsid w:val="00EF61F7"/>
    <w:rsid w:val="00F0555D"/>
    <w:rsid w:val="00F05FCC"/>
    <w:rsid w:val="00F3563D"/>
    <w:rsid w:val="00F40A36"/>
    <w:rsid w:val="00F411B8"/>
    <w:rsid w:val="00F4469B"/>
    <w:rsid w:val="00F466DC"/>
    <w:rsid w:val="00F573A3"/>
    <w:rsid w:val="00F615EF"/>
    <w:rsid w:val="00F76C50"/>
    <w:rsid w:val="00F82B47"/>
    <w:rsid w:val="00F86821"/>
    <w:rsid w:val="00F915DB"/>
    <w:rsid w:val="00FA2291"/>
    <w:rsid w:val="00FB493F"/>
    <w:rsid w:val="00FC21BE"/>
    <w:rsid w:val="00FE4462"/>
    <w:rsid w:val="00FF02E4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E52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0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03"/>
  </w:style>
  <w:style w:type="paragraph" w:styleId="Footer">
    <w:name w:val="footer"/>
    <w:basedOn w:val="Normal"/>
    <w:link w:val="FooterChar"/>
    <w:uiPriority w:val="99"/>
    <w:unhideWhenUsed/>
    <w:rsid w:val="00B6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03"/>
  </w:style>
  <w:style w:type="paragraph" w:styleId="BalloonText">
    <w:name w:val="Balloon Text"/>
    <w:basedOn w:val="Normal"/>
    <w:link w:val="BalloonTextChar"/>
    <w:uiPriority w:val="99"/>
    <w:semiHidden/>
    <w:unhideWhenUsed/>
    <w:rsid w:val="00B6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D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E7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7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3CA3"/>
  </w:style>
  <w:style w:type="paragraph" w:customStyle="1" w:styleId="Default">
    <w:name w:val="Default"/>
    <w:rsid w:val="00343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0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03"/>
  </w:style>
  <w:style w:type="paragraph" w:styleId="Footer">
    <w:name w:val="footer"/>
    <w:basedOn w:val="Normal"/>
    <w:link w:val="FooterChar"/>
    <w:uiPriority w:val="99"/>
    <w:unhideWhenUsed/>
    <w:rsid w:val="00B6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03"/>
  </w:style>
  <w:style w:type="paragraph" w:styleId="BalloonText">
    <w:name w:val="Balloon Text"/>
    <w:basedOn w:val="Normal"/>
    <w:link w:val="BalloonTextChar"/>
    <w:uiPriority w:val="99"/>
    <w:semiHidden/>
    <w:unhideWhenUsed/>
    <w:rsid w:val="00B6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D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E7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7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3CA3"/>
  </w:style>
  <w:style w:type="paragraph" w:customStyle="1" w:styleId="Default">
    <w:name w:val="Default"/>
    <w:rsid w:val="00343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892C-6006-40E6-9BD7-E322F88E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Health United Limited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Gray</dc:creator>
  <cp:lastModifiedBy>Watkins James</cp:lastModifiedBy>
  <cp:revision>3</cp:revision>
  <cp:lastPrinted>2018-12-24T11:06:00Z</cp:lastPrinted>
  <dcterms:created xsi:type="dcterms:W3CDTF">2019-07-08T08:52:00Z</dcterms:created>
  <dcterms:modified xsi:type="dcterms:W3CDTF">2019-07-08T11:01:00Z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